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1D503" w14:textId="77777777" w:rsidR="00BB7338" w:rsidRPr="00BB7338" w:rsidRDefault="00BB7338" w:rsidP="00BB7338">
      <w:pPr>
        <w:keepNext/>
        <w:keepLines/>
        <w:spacing w:before="240" w:after="600"/>
        <w:jc w:val="center"/>
        <w:outlineLvl w:val="0"/>
        <w:rPr>
          <w:rFonts w:eastAsia="Times New Roman" w:cstheme="majorBidi"/>
          <w:b/>
          <w:color w:val="C00000"/>
          <w:sz w:val="72"/>
          <w:szCs w:val="32"/>
          <w:lang w:eastAsia="fr-FR"/>
        </w:rPr>
      </w:pPr>
      <w:bookmarkStart w:id="0" w:name="_Toc427335350"/>
      <w:r w:rsidRPr="00BB7338">
        <w:rPr>
          <w:rFonts w:eastAsia="Times New Roman" w:cstheme="majorBidi"/>
          <w:b/>
          <w:color w:val="C00000"/>
          <w:sz w:val="72"/>
          <w:szCs w:val="32"/>
          <w:lang w:eastAsia="fr-FR"/>
        </w:rPr>
        <w:t>CINQUIEME CHAPITRE - QUELQUES LIGNES D’ORIENTATION ET D’ACTION</w:t>
      </w:r>
      <w:bookmarkEnd w:id="0"/>
    </w:p>
    <w:p w14:paraId="39D1D504"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 xml:space="preserve">163. J’ai cherché à analyser la situation actuelle de l’humanité, tant dans les fissures qui s’observent sur la planète que nous habitons, que dans les causes plus profondément humaines de la dégradation de l’environnement. Bien que cette observation de la réalité nous montre déjà en soi la nécessité d’un changement de direction, et nous suggère certaines actions, essayons à présent de tracer </w:t>
      </w:r>
      <w:commentRangeStart w:id="1"/>
      <w:r w:rsidRPr="00BB7338">
        <w:rPr>
          <w:rFonts w:ascii="DroidSansRegular" w:eastAsia="Times New Roman" w:hAnsi="DroidSansRegular" w:cs="Times New Roman"/>
          <w:sz w:val="36"/>
          <w:lang w:eastAsia="fr-FR"/>
        </w:rPr>
        <w:t xml:space="preserve">les grandes lignes de dialogue </w:t>
      </w:r>
      <w:commentRangeEnd w:id="1"/>
      <w:r w:rsidR="002B74D5">
        <w:rPr>
          <w:rStyle w:val="Marquedecommentaire"/>
        </w:rPr>
        <w:commentReference w:id="1"/>
      </w:r>
      <w:r w:rsidRPr="00BB7338">
        <w:rPr>
          <w:rFonts w:ascii="DroidSansRegular" w:eastAsia="Times New Roman" w:hAnsi="DroidSansRegular" w:cs="Times New Roman"/>
          <w:sz w:val="36"/>
          <w:lang w:eastAsia="fr-FR"/>
        </w:rPr>
        <w:t>à même de nous aider à sortir de la spirale d’autodestruction dans laquelle nous nous enfonçons.</w:t>
      </w:r>
    </w:p>
    <w:p w14:paraId="39D1D505" w14:textId="77777777" w:rsidR="00BB7338" w:rsidRPr="00BB7338" w:rsidRDefault="00BB7338" w:rsidP="00BB7338">
      <w:pPr>
        <w:keepNext/>
        <w:keepLines/>
        <w:spacing w:before="600"/>
        <w:outlineLvl w:val="1"/>
        <w:rPr>
          <w:rFonts w:eastAsia="Times New Roman" w:cstheme="majorBidi"/>
          <w:b/>
          <w:color w:val="C00000"/>
          <w:sz w:val="52"/>
          <w:szCs w:val="26"/>
          <w:lang w:eastAsia="fr-FR"/>
        </w:rPr>
      </w:pPr>
      <w:bookmarkStart w:id="2" w:name="_Toc427335351"/>
      <w:r w:rsidRPr="00BB7338">
        <w:rPr>
          <w:rFonts w:eastAsia="Times New Roman" w:cstheme="majorBidi"/>
          <w:b/>
          <w:color w:val="C00000"/>
          <w:sz w:val="52"/>
          <w:szCs w:val="26"/>
          <w:lang w:eastAsia="fr-FR"/>
        </w:rPr>
        <w:t>I. LE DIALOGUE SUR L’ENVIRONNEMENT DANS LA POLITIQUE INTERNATIONALE</w:t>
      </w:r>
      <w:bookmarkEnd w:id="2"/>
    </w:p>
    <w:p w14:paraId="39D1D506"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164. Depuis la moitié du siècle dernier, après avoir surmonté beaucoup de difficultés, on a eu de plus en plus tendance à concevoir la planète comme un</w:t>
      </w:r>
      <w:bookmarkStart w:id="3" w:name="_GoBack"/>
      <w:bookmarkEnd w:id="3"/>
      <w:r w:rsidRPr="00BB7338">
        <w:rPr>
          <w:rFonts w:ascii="DroidSansRegular" w:eastAsia="Times New Roman" w:hAnsi="DroidSansRegular" w:cs="Times New Roman"/>
          <w:sz w:val="36"/>
          <w:lang w:eastAsia="fr-FR"/>
        </w:rPr>
        <w:t xml:space="preserve">e patrie, et l’humanité comme un peuple qui habite une maison commune. Que le monde soit interdépendant ne signifie pas seulement comprendre que les conséquences préjudiciables des modes de vie, de production et de consommation affectent tout le monde, mais surtout faire en sorte que les solutions soient proposées dans une perspective </w:t>
      </w:r>
      <w:r w:rsidRPr="00BB7338">
        <w:rPr>
          <w:rFonts w:ascii="DroidSansRegular" w:eastAsia="Times New Roman" w:hAnsi="DroidSansRegular" w:cs="Times New Roman"/>
          <w:sz w:val="36"/>
          <w:lang w:eastAsia="fr-FR"/>
        </w:rPr>
        <w:lastRenderedPageBreak/>
        <w:t>globale, et pas seulement pour défendre les intérêts de certains pays. L’interdépendance nous oblige à penser à </w:t>
      </w:r>
      <w:r w:rsidRPr="00BB7338">
        <w:rPr>
          <w:rFonts w:ascii="DroidSansRegular" w:eastAsia="Times New Roman" w:hAnsi="DroidSansRegular" w:cs="Times New Roman"/>
          <w:i/>
          <w:iCs/>
          <w:sz w:val="36"/>
          <w:lang w:eastAsia="fr-FR"/>
        </w:rPr>
        <w:t>un monde unique, à un projet commun</w:t>
      </w:r>
      <w:r w:rsidRPr="00BB7338">
        <w:rPr>
          <w:rFonts w:ascii="DroidSansRegular" w:eastAsia="Times New Roman" w:hAnsi="DroidSansRegular" w:cs="Times New Roman"/>
          <w:sz w:val="36"/>
          <w:lang w:eastAsia="fr-FR"/>
        </w:rPr>
        <w:t>. Mais la même intelligence que l’on déploie pour un impressionnant développement technologique, ne parvient pas à trouver des formes efficaces de gestion internationale pour résoudre les graves difficultés environnementales et sociales. Pour affronter les problèmes de fond qui ne peuvent pas être résolus par les actions de pays isolés, un consensus mondial devient indispensable, qui conduirait, par exemple, à programmer une agriculture durable et diversifiée, à développer des formes d’énergies renouvelables et peu polluantes, à promouvoir un meilleur rendement énergétique, une gestion plus adéquate des ressources forestières et marines, à assurer l’accès à l’eau potable pour tous.</w:t>
      </w:r>
    </w:p>
    <w:p w14:paraId="39D1D507"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 xml:space="preserve">165. Nous savons que la technologie reposant sur les combustibles fossiles très polluants – surtout le charbon, mais aussi le pétrole et, dans une moindre mesure, le gaz – a besoin d’être remplacée, progressivement et sans retard. Tant qu’il n’y aura pas un développement conséquent des énergies renouvelables, développement qui devrait être déjà en cours, il est légitime de choisir le moindre mal et de recourir à des solutions transitoires. Cependant, on ne parvient pas, dans la communauté internationale, à des accords suffisants sur la responsabilité de ceux qui doivent supporter les coûts de la transition énergétique. Ces dernières décennies, les questions d’environnement ont généré un large débat public qui a fait grandir dans la société civile des espaces pour de nombreux engagements et un généreux dévouement. La politique et l’entreprise réagissent avec lenteur, loin d’être à la hauteur des défis mondiaux. En ce sens, alors que l’humanité de l’époque post-industrielle sera peut-être considérée comme l’une des plus irresponsables de l’histoire, il faut espérer que l’humanité </w:t>
      </w:r>
      <w:r w:rsidRPr="00BB7338">
        <w:rPr>
          <w:rFonts w:ascii="DroidSansRegular" w:eastAsia="Times New Roman" w:hAnsi="DroidSansRegular" w:cs="Times New Roman"/>
          <w:sz w:val="36"/>
          <w:lang w:eastAsia="fr-FR"/>
        </w:rPr>
        <w:lastRenderedPageBreak/>
        <w:t>du début du XXI</w:t>
      </w:r>
      <w:r w:rsidRPr="00BB7338">
        <w:rPr>
          <w:rFonts w:ascii="DroidSansRegular" w:eastAsia="Times New Roman" w:hAnsi="DroidSansRegular" w:cs="Times New Roman"/>
          <w:sz w:val="36"/>
          <w:vertAlign w:val="superscript"/>
          <w:lang w:eastAsia="fr-FR"/>
        </w:rPr>
        <w:t>e</w:t>
      </w:r>
      <w:r w:rsidRPr="00BB7338">
        <w:rPr>
          <w:rFonts w:ascii="DroidSansRegular" w:eastAsia="Times New Roman" w:hAnsi="DroidSansRegular" w:cs="Times New Roman"/>
          <w:sz w:val="36"/>
          <w:lang w:eastAsia="fr-FR"/>
        </w:rPr>
        <w:t> siècle pourra rester dans les mémoires pour avoir assumé avec générosité ses graves responsabilités.</w:t>
      </w:r>
    </w:p>
    <w:p w14:paraId="39D1D508"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166. Le mouvement écologique mondial a déjà fait un long parcours, enrichi par les efforts de nombreuses organisations de la société civile. Il n’est pas possible ici de les mentionner toutes, ni de retracer l’histoire de leurs apports. Mais grâce à un fort engagement, les questions environnementales ont été de plus en plus présentes dans l’agenda public et sont devenues une invitation constante à penser à long terme. Cependant, les Sommets mondiaux de ces dernières années sur l’environnement n’ont pas répondu aux attentes parce que, par manque de décision politique, ils ne sont pas parvenus à des accords généraux, vraiment significatifs et efficaces, sur l’environnement.</w:t>
      </w:r>
    </w:p>
    <w:p w14:paraId="39D1D509"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167. Il convient de mettre l’accent sur le Sommet planète Terre, réuni en 1992 à Rio de Janeiro. Il y a été proclamé que « les êtres humains sont au centre des préoccupations relatives au développement durable</w:t>
      </w:r>
      <w:r w:rsidRPr="00BB7338">
        <w:rPr>
          <w:rFonts w:ascii="DroidSansRegular" w:eastAsia="Times New Roman" w:hAnsi="DroidSansRegular" w:cs="Times New Roman"/>
          <w:sz w:val="36"/>
          <w:vertAlign w:val="superscript"/>
          <w:lang w:eastAsia="fr-FR"/>
        </w:rPr>
        <w:footnoteReference w:id="1"/>
      </w:r>
      <w:r w:rsidRPr="00BB7338">
        <w:rPr>
          <w:rFonts w:ascii="DroidSansRegular" w:eastAsia="Times New Roman" w:hAnsi="DroidSansRegular" w:cs="Times New Roman" w:hint="eastAsia"/>
          <w:sz w:val="36"/>
          <w:lang w:eastAsia="fr-FR"/>
        </w:rPr>
        <w:t> »</w:t>
      </w:r>
      <w:r w:rsidRPr="00BB7338">
        <w:rPr>
          <w:rFonts w:ascii="DroidSansRegular" w:eastAsia="Times New Roman" w:hAnsi="DroidSansRegular" w:cs="Times New Roman"/>
          <w:sz w:val="36"/>
          <w:lang w:eastAsia="fr-FR"/>
        </w:rPr>
        <w:t xml:space="preserve">. Reprenant des éléments de la Déclaration de Stockholm (1972), il a consacré la coopération internationale pour préserver l’écosystème de la terre entière, l’obligation pour celui qui pollue d’en assumer économiquement la charge, le devoir d’évaluer l’impact sur l’environnement de toute entreprise ou projet. Il a proposé comme objectif de stabiliser les concentrations de gaz à effet de serre dans l’atmosphère pour inverser la tendance au réchauffement global. Il a également élaboré un agenda avec un programme d’action et un accord sur la diversité biologique, il a déclaré des principes en matière de forêts. Même si ce Sommet a vraiment été innovateur et prophétique pour son époque, les accords n’ont été que peu mis en œuvre parce qu’aucun mécanisme adéquat de contrôle, de révision </w:t>
      </w:r>
      <w:r w:rsidRPr="00BB7338">
        <w:rPr>
          <w:rFonts w:ascii="DroidSansRegular" w:eastAsia="Times New Roman" w:hAnsi="DroidSansRegular" w:cs="Times New Roman"/>
          <w:sz w:val="36"/>
          <w:lang w:eastAsia="fr-FR"/>
        </w:rPr>
        <w:lastRenderedPageBreak/>
        <w:t>périodique et de sanction en cas de manquement, n’avait été établi. Les principes énoncés demandent encore des moyens, efficaces et souples, de mise en œuvre pratique.</w:t>
      </w:r>
    </w:p>
    <w:p w14:paraId="39D1D50A"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168. Parmi les expériences positives, on peut mentionner, par exemple, la Convention de Bâle sur le contrôle des mouvements transfrontaliers de déchets dangereux et leur élimination, avec un système de déclaration, de standards et de contrôles ; on peut citer également la Convention sur le commerce international des espèces de faune et de flore sauvages menacées d’extinction, qui inclut des missions de vérification de son respect effectif. Grâce à la Convention de Vienne pour la protection de la couche d’ozone, et sa mise en œuvre à travers le Protocole de Montréal et ses amendements, le problème de l’amincissement de cette couche semble être entré dans une phase de solution.</w:t>
      </w:r>
    </w:p>
    <w:p w14:paraId="39D1D50B"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 xml:space="preserve">169. Pour ce qui est de la protection de la diversité biologique et en ce qui concerne la désertification, les avancées ont été beaucoup moins significatives. S’agissant du changement climatique, les avancées sont hélas très médiocres. La réduction des gaz à effet de serre exige honnêteté, courage et responsabilité, surtout de la part des pays les plus puissants et les plus polluants. La Conférence des Nations Unies sur le développement durable, dénommée Rio+20 (Rio de Janeiro 2012), a émis un long et inefficace Document final. Les négociations internationales ne peuvent pas avancer de manière significative en raison de la position des pays qui mettent leurs intérêts nationaux au-dessus du bien commun général. Ceux qui souffriront des conséquences que nous tentons de dissimuler rappelleront ce manque de conscience et de responsabilité. Alors que se préparait cette Encyclique, le débat a atteint une intensité particulière. Nous, les croyants, nous ne pouvons pas cesser de demander à Dieu qu’il y ait des avancées positives </w:t>
      </w:r>
      <w:r w:rsidRPr="00BB7338">
        <w:rPr>
          <w:rFonts w:ascii="DroidSansRegular" w:eastAsia="Times New Roman" w:hAnsi="DroidSansRegular" w:cs="Times New Roman"/>
          <w:sz w:val="36"/>
          <w:lang w:eastAsia="fr-FR"/>
        </w:rPr>
        <w:lastRenderedPageBreak/>
        <w:t>dans les discussions actuelles, de manière à ce que les générations futures ne souffrent pas des conséquences d’ajournements imprudents.</w:t>
      </w:r>
    </w:p>
    <w:p w14:paraId="39D1D50C"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170. Certaines des stratégies de basse émission de gaz polluants cherchent l’internationalisation des coûts environnementaux, avec le risque d’imposer aux pays de moindres ressources de lourds engagements de réduction des émissions, comparables à ceux des pays les plus industrialisés. L’imposition de ces mesures porte préjudice aux pays qui ont le plus besoin de développement. Une nouvelle injustice est ainsi ajoutée sous couvert de protection de l’environnement. Comme toujours, le fil est rompu à son point le plus faible. Étant donné que les effets du changement climatique se feront sentir pendant longtemps, même si des mesures strictes sont prises maintenant, certains pays aux maigres ressources auront besoin d’aide pour s’adapter aux effets qui déjà se produisent et qui affectent leurs économies. Il reste vrai qu’il y a des responsabilités communes mais différenciées, simplement parce que, comme l’ont relevé les Évêques de Bolivie, « les pays qui ont bénéficié d’un degré élevé d’industrialisation, au prix d’une énorme émission de gaz à effet de serre, ont une plus grande responsabilité dans l’apport de la solution aux problèmes qu’ils ont causés</w:t>
      </w:r>
      <w:r w:rsidRPr="00BB7338">
        <w:rPr>
          <w:rFonts w:ascii="DroidSansRegular" w:eastAsia="Times New Roman" w:hAnsi="DroidSansRegular" w:cs="Times New Roman"/>
          <w:sz w:val="36"/>
          <w:vertAlign w:val="superscript"/>
          <w:lang w:eastAsia="fr-FR"/>
        </w:rPr>
        <w:footnoteReference w:id="2"/>
      </w:r>
      <w:r w:rsidRPr="00BB7338">
        <w:rPr>
          <w:rFonts w:ascii="DroidSansRegular" w:eastAsia="Times New Roman" w:hAnsi="DroidSansRegular" w:cs="Times New Roman"/>
          <w:sz w:val="36"/>
          <w:lang w:eastAsia="fr-FR"/>
        </w:rPr>
        <w:t xml:space="preserve"> ». </w:t>
      </w:r>
    </w:p>
    <w:p w14:paraId="39D1D50D"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 xml:space="preserve">171. La stratégie d’achat et de vente de “crédits de carbone” peut donner lieu à une nouvelle forme de spéculation, et cela ne servirait pas à réduire l’émission globale des gaz polluants. Ce système semble être une solution rapide et facile, sous l’apparence d’un certain engagement pour l’environnement, mais qui n’implique, en aucune manière, de changement radical à la hauteur des circonstances. Au contraire, il peut devenir un </w:t>
      </w:r>
      <w:r w:rsidRPr="00BB7338">
        <w:rPr>
          <w:rFonts w:ascii="DroidSansRegular" w:eastAsia="Times New Roman" w:hAnsi="DroidSansRegular" w:cs="Times New Roman"/>
          <w:sz w:val="36"/>
          <w:lang w:eastAsia="fr-FR"/>
        </w:rPr>
        <w:lastRenderedPageBreak/>
        <w:t xml:space="preserve">expédient qui permet de soutenir la </w:t>
      </w:r>
      <w:proofErr w:type="spellStart"/>
      <w:r w:rsidRPr="00BB7338">
        <w:rPr>
          <w:rFonts w:ascii="DroidSansRegular" w:eastAsia="Times New Roman" w:hAnsi="DroidSansRegular" w:cs="Times New Roman"/>
          <w:sz w:val="36"/>
          <w:lang w:eastAsia="fr-FR"/>
        </w:rPr>
        <w:t>sur-consommation</w:t>
      </w:r>
      <w:proofErr w:type="spellEnd"/>
      <w:r w:rsidRPr="00BB7338">
        <w:rPr>
          <w:rFonts w:ascii="DroidSansRegular" w:eastAsia="Times New Roman" w:hAnsi="DroidSansRegular" w:cs="Times New Roman"/>
          <w:sz w:val="36"/>
          <w:lang w:eastAsia="fr-FR"/>
        </w:rPr>
        <w:t xml:space="preserve"> de certains pays et secteurs.</w:t>
      </w:r>
    </w:p>
    <w:p w14:paraId="39D1D50E"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172. Les pays pauvres doivent avoir comme priorité l’éradication de la misère et le développement social de leurs habitants ; bien qu’ils doivent analyser le niveau de consommation scandaleux de certains secteurs privilégiés de leur population et contrôler la corruption. Il est vrai aussi qu’ils doivent développer des formes moins polluantes de production d’énergie, mais pour cela ils doivent pouvoir compter sur l’aide des pays qui ont connu une forte croissance au prix de la pollution actuelle de la planète. L’exploitation directe de l’abondante énergie solaire demande que des mécanismes et des subsides soient établis, de sorte que les pays en développement puissent accéder au transfert de technologies, à l’assistance technique, et aux ressources financières, mais toujours en faisant attention aux conditions concrètes, puisque « on n’évalue pas toujours de manière adéquate la compatibilité des infrastructures avec le contexte pour lequel elles ont été conçues</w:t>
      </w:r>
      <w:r w:rsidRPr="00BB7338">
        <w:rPr>
          <w:rFonts w:ascii="DroidSansRegular" w:eastAsia="Times New Roman" w:hAnsi="DroidSansRegular" w:cs="Times New Roman"/>
          <w:sz w:val="36"/>
          <w:vertAlign w:val="superscript"/>
          <w:lang w:eastAsia="fr-FR"/>
        </w:rPr>
        <w:footnoteReference w:id="3"/>
      </w:r>
      <w:r w:rsidRPr="00BB7338">
        <w:rPr>
          <w:rFonts w:ascii="DroidSansRegular" w:eastAsia="Times New Roman" w:hAnsi="DroidSansRegular" w:cs="Times New Roman"/>
          <w:sz w:val="36"/>
          <w:lang w:eastAsia="fr-FR"/>
        </w:rPr>
        <w:t> ». Les coûts seraient faibles si on les comparait aux risques du changement climatique. De toute manière, c’est avant tout une décision éthique, fondée sur la solidarité entre tous les peuples.</w:t>
      </w:r>
    </w:p>
    <w:p w14:paraId="39D1D50F"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 xml:space="preserve">173. Étant donnée la fragilité des instances locales, des accords internationaux sont urgents, qui soient respectés pour intervenir de manière efficace. Les relations entre les États doivent sauvegarder la souveraineté de chacun, mais aussi établir des chemins consensuels pour éviter des catastrophes locales qui finiraient par toucher tout le monde. Il manque de cadres régulateurs généraux qui imposent des obligations, et qui empêchent des agissements intolérables, comme le fait que </w:t>
      </w:r>
      <w:r w:rsidRPr="00BB7338">
        <w:rPr>
          <w:rFonts w:ascii="DroidSansRegular" w:eastAsia="Times New Roman" w:hAnsi="DroidSansRegular" w:cs="Times New Roman"/>
          <w:sz w:val="36"/>
          <w:lang w:eastAsia="fr-FR"/>
        </w:rPr>
        <w:lastRenderedPageBreak/>
        <w:t>certains pays puissants transfèrent dans d’autres pays des déchets et des industries hautement polluants.</w:t>
      </w:r>
    </w:p>
    <w:p w14:paraId="39D1D510"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174. Mentionnons aussi le système de gestion des océans. En effet, même s’il y a eu plusieurs conventions internationales et régionales, l’éparpillement et l’absence de mécanismes sévères de réglementation, de contrôle et de sanction finissent par miner tous les efforts. Le problème croissant des déchets marins et de la protection des zones marines au-delà des frontières nationales continue de représenter un défi particulier. En définitive, il faut un accord sur les régimes de gestion, pour toute la gamme de ce qu’on appelle les “biens communs globaux”.</w:t>
      </w:r>
    </w:p>
    <w:p w14:paraId="39D1D511"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175. La même logique qui entrave la prise de décisions drastiques pour inverser la tendance au réchauffement global, ne permet pas non plus d’atteindre l’objectif d’éradiquer la pauvreté. Il faut une réaction globale plus responsable, qui implique en même temps la lutte pour la réduction de la pollution et le développement des pays et des régions pauvres. Le XXI</w:t>
      </w:r>
      <w:r w:rsidRPr="00BB7338">
        <w:rPr>
          <w:rFonts w:ascii="DroidSansRegular" w:eastAsia="Times New Roman" w:hAnsi="DroidSansRegular" w:cs="Times New Roman"/>
          <w:sz w:val="36"/>
          <w:vertAlign w:val="superscript"/>
          <w:lang w:eastAsia="fr-FR"/>
        </w:rPr>
        <w:t>e</w:t>
      </w:r>
      <w:r w:rsidRPr="00BB7338">
        <w:rPr>
          <w:rFonts w:ascii="DroidSansRegular" w:eastAsia="Times New Roman" w:hAnsi="DroidSansRegular" w:cs="Times New Roman"/>
          <w:sz w:val="36"/>
          <w:lang w:eastAsia="fr-FR"/>
        </w:rPr>
        <w:t xml:space="preserve"> siècle, alors qu’il maintient un système de gouvernement propre aux époques passées, est le théâtre d’un affaiblissement du pouvoir des États nationaux, surtout parce que la dimension économique et financière, de caractère transnational, tend à prédominer sur la politique. Dans ce contexte, la maturation d’institutions internationales devient indispensable, qui doivent être plus fortes et efficacement organisées, avec des autorités désignées équitablement par accord entre les gouvernements nationaux, et dotées de pouvoir pour sanctionner. Comme l’a affirmé Benoît XVI dans la ligne déjà développée par la doctrine sociale de l’Église : « Pour le gouvernement de l’économie mondiale, pour assainir les économies frappées par la crise, pour prévenir son aggravation et de plus grands déséquilibres, pour procéder à un souhaitable </w:t>
      </w:r>
      <w:r w:rsidRPr="00BB7338">
        <w:rPr>
          <w:rFonts w:ascii="DroidSansRegular" w:eastAsia="Times New Roman" w:hAnsi="DroidSansRegular" w:cs="Times New Roman"/>
          <w:sz w:val="36"/>
          <w:lang w:eastAsia="fr-FR"/>
        </w:rPr>
        <w:lastRenderedPageBreak/>
        <w:t xml:space="preserve">désarmement intégral, pour arriver à la sécurité alimentaire et à la paix, pour assurer la protection de l’environnement et pour réguler les flux migratoires, il est urgent que soit mise en place une véritable </w:t>
      </w:r>
      <w:r w:rsidRPr="00BB7338">
        <w:rPr>
          <w:rFonts w:ascii="DroidSansRegular" w:eastAsia="Times New Roman" w:hAnsi="DroidSansRegular" w:cs="Times New Roman"/>
          <w:i/>
          <w:iCs/>
          <w:sz w:val="36"/>
          <w:lang w:eastAsia="fr-FR"/>
        </w:rPr>
        <w:t xml:space="preserve">Autorité politique mondiale </w:t>
      </w:r>
      <w:r w:rsidRPr="00BB7338">
        <w:rPr>
          <w:rFonts w:ascii="DroidSansRegular" w:eastAsia="Times New Roman" w:hAnsi="DroidSansRegular" w:cs="Times New Roman"/>
          <w:sz w:val="36"/>
          <w:lang w:eastAsia="fr-FR"/>
        </w:rPr>
        <w:t>telle qu’elle a déjà été esquissée par mon Prédécesseur, [saint] Jean XXIII</w:t>
      </w:r>
      <w:r w:rsidRPr="00BB7338">
        <w:rPr>
          <w:rFonts w:ascii="DroidSansRegular" w:eastAsia="Times New Roman" w:hAnsi="DroidSansRegular" w:cs="Times New Roman"/>
          <w:sz w:val="36"/>
          <w:vertAlign w:val="superscript"/>
          <w:lang w:eastAsia="fr-FR"/>
        </w:rPr>
        <w:footnoteReference w:id="4"/>
      </w:r>
      <w:r w:rsidRPr="00BB7338">
        <w:rPr>
          <w:rFonts w:ascii="DroidSansRegular" w:eastAsia="Times New Roman" w:hAnsi="DroidSansRegular" w:cs="Times New Roman" w:hint="eastAsia"/>
          <w:sz w:val="36"/>
          <w:lang w:eastAsia="fr-FR"/>
        </w:rPr>
        <w:t> »</w:t>
      </w:r>
      <w:r w:rsidRPr="00BB7338">
        <w:rPr>
          <w:rFonts w:ascii="DroidSansRegular" w:eastAsia="Times New Roman" w:hAnsi="DroidSansRegular" w:cs="Times New Roman"/>
          <w:sz w:val="36"/>
          <w:lang w:eastAsia="fr-FR"/>
        </w:rPr>
        <w:t>. Dans cette perspective, la diplomatie acquiert une importance inédite, en vue de promouvoir des stratégies internationales anticipant les problèmes plus graves qui finissent par affecter chacun.</w:t>
      </w:r>
    </w:p>
    <w:p w14:paraId="39D1D512" w14:textId="77777777" w:rsidR="00BB7338" w:rsidRPr="00BB7338" w:rsidRDefault="00BB7338" w:rsidP="00BB7338">
      <w:pPr>
        <w:keepNext/>
        <w:keepLines/>
        <w:spacing w:before="600"/>
        <w:outlineLvl w:val="1"/>
        <w:rPr>
          <w:rFonts w:eastAsia="Times New Roman" w:cstheme="majorBidi"/>
          <w:b/>
          <w:color w:val="C00000"/>
          <w:sz w:val="52"/>
          <w:szCs w:val="26"/>
          <w:lang w:eastAsia="fr-FR"/>
        </w:rPr>
      </w:pPr>
      <w:bookmarkStart w:id="4" w:name="_Toc427335352"/>
      <w:r w:rsidRPr="00BB7338">
        <w:rPr>
          <w:rFonts w:eastAsia="Times New Roman" w:cstheme="majorBidi"/>
          <w:b/>
          <w:color w:val="C00000"/>
          <w:sz w:val="52"/>
          <w:szCs w:val="26"/>
          <w:lang w:eastAsia="fr-FR"/>
        </w:rPr>
        <w:t>II. LE DIALOGUE EN VUE DE NOUVELLES POLITIQUES NATIONALES ET LOCALES</w:t>
      </w:r>
      <w:bookmarkEnd w:id="4"/>
    </w:p>
    <w:p w14:paraId="39D1D513"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176. Non seulement il y a des gagnants et des perdants entre les pays, mais aussi entre les pays pauvres, où diverses responsabilités doivent être identifiées. Pour cela, les questions concernant l’environnement et le développement économique ne peuvent plus se poser seulement à partir des différences entre pays, mais demandent qu’on prête attention aux politiques nationales et locales.</w:t>
      </w:r>
    </w:p>
    <w:p w14:paraId="39D1D514"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 xml:space="preserve">177. Face à la possibilité d’une utilisation irresponsable des capacités humaines, planifier, coordonner, veiller, et sanctionner sont des fonctions impératives de chaque État. Comment la société prépare-t-elle et protège-t-elle son avenir dans un contexte de constantes innovations technologiques ? Le droit, qui établit les règles des comportements acceptables à la lumière du bien commun, est un facteur qui fonctionne comme un modérateur important. Les limites qu’une société saine, mature et souveraine doit imposer sont liées à la prévision, à la précaution, aux régulations adéquates, à la vigilance dans l’application des normes, à la lutte contre la corruption, aux </w:t>
      </w:r>
      <w:r w:rsidRPr="00BB7338">
        <w:rPr>
          <w:rFonts w:ascii="DroidSansRegular" w:eastAsia="Times New Roman" w:hAnsi="DroidSansRegular" w:cs="Times New Roman"/>
          <w:sz w:val="36"/>
          <w:lang w:eastAsia="fr-FR"/>
        </w:rPr>
        <w:lastRenderedPageBreak/>
        <w:t>actions de contrôle opérationnel sur les effets émergents non désirés des processus productifs, et à l’intervention opportune face aux risques incertains ou potentiels. Il y a une jurisprudence croissante visant à diminuer les effets polluants des activités des entreprises. Mais le cadre politique et institutionnel n’est pas là seulement pour éviter les mauvaises pratiques, mais aussi pour encourager les bonnes pratiques, pour stimuler la créativité qui cherche de nouvelles voies, pour faciliter les initiatives personnelles et collectives.</w:t>
      </w:r>
    </w:p>
    <w:p w14:paraId="39D1D515"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178. Le drame de l’"immédiateté" politique, soutenue aussi par des populations consuméristes, conduit à la nécessité de produire de la croissance à court terme. Répondant à des intérêts électoraux, les gouvernements ne prennent pas facilement le risque de mécontenter la population avec des mesures qui peuvent affecter le niveau de consommation ou mettre en péril des investissements étrangers. La myopie de la logique du pouvoir ralentit l’intégration de l’agenda environnemental aux vues larges, dans l’agenda public des gouvernements. On oublie ainsi que « le temps est supérieur à l’espace</w:t>
      </w:r>
      <w:r w:rsidRPr="00BB7338">
        <w:rPr>
          <w:rFonts w:ascii="DroidSansRegular" w:eastAsia="Times New Roman" w:hAnsi="DroidSansRegular" w:cs="Times New Roman"/>
          <w:sz w:val="36"/>
          <w:vertAlign w:val="superscript"/>
          <w:lang w:eastAsia="fr-FR"/>
        </w:rPr>
        <w:footnoteReference w:id="5"/>
      </w:r>
      <w:r w:rsidRPr="00BB7338">
        <w:rPr>
          <w:rFonts w:ascii="DroidSansRegular" w:eastAsia="Times New Roman" w:hAnsi="DroidSansRegular" w:cs="Times New Roman" w:hint="eastAsia"/>
          <w:sz w:val="36"/>
          <w:lang w:eastAsia="fr-FR"/>
        </w:rPr>
        <w:t> »</w:t>
      </w:r>
      <w:r w:rsidRPr="00BB7338">
        <w:rPr>
          <w:rFonts w:ascii="DroidSansRegular" w:eastAsia="Times New Roman" w:hAnsi="DroidSansRegular" w:cs="Times New Roman"/>
          <w:sz w:val="36"/>
          <w:lang w:eastAsia="fr-FR"/>
        </w:rPr>
        <w:t>, que nous sommes toujours plus féconds quand nous nous préoccupons plus d’élaborer des processus que de nous emparer des espaces de pouvoir. La grandeur politique se révèle quand, dans les moments difficiles, on œuvre pour les grands principes et en pensant au bien commun à long terme. Il est très difficile pour le pouvoir politique d’assumer ce devoir dans un projet de Nation.</w:t>
      </w:r>
    </w:p>
    <w:p w14:paraId="39D1D516"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 xml:space="preserve">179. En certains lieux, se développent des coopératives pour l’exploitation d’énergies renouvelables, qui permettent l’autosuffisance locale, et même la vente des excédents. Ce simple exemple montre que l’instance locale peut faire la différence alors que l’ordre mondial existant se révèle incapable </w:t>
      </w:r>
      <w:r w:rsidRPr="00BB7338">
        <w:rPr>
          <w:rFonts w:ascii="DroidSansRegular" w:eastAsia="Times New Roman" w:hAnsi="DroidSansRegular" w:cs="Times New Roman"/>
          <w:sz w:val="36"/>
          <w:lang w:eastAsia="fr-FR"/>
        </w:rPr>
        <w:lastRenderedPageBreak/>
        <w:t>de prendre ses responsabilités. En effet, on peut à ce niveau susciter une plus grande responsabilité, un fort sentiment communautaire, une capacité spéciale de protection et une créativité plus généreuse, un amour profond pour sa terre ; là aussi, on pense à ce qu’on laisse aux enfants et aux petits-enfants. Ces valeurs ont un enracinement notable dans les populations aborigènes. Étant donné que le droit se montre parfois insuffisant en raison de la corruption, il faut que la décision politique soit incitée par la pression de la population. La société, à travers des organismes non gouvernementaux et des associations intermédiaires, doit obliger les gouvernements à développer des normes, des procédures et des contrôles plus rigoureux. Si les citoyens ne contrôlent pas le pouvoir politique – national, régional et municipal – un contrôle des dommages sur l’environnement n’est pas possible non plus. D’autre part, les législations des municipalités peuvent être plus efficaces s’il y a des accords entre populations voisines pour soutenir les mêmes politiques environnementales.</w:t>
      </w:r>
    </w:p>
    <w:p w14:paraId="39D1D517"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 xml:space="preserve">180. On ne peut pas penser à des recettes uniformes, parce que chaque pays ou région a des problèmes et des limites spécifiques. Il est aussi vrai que le réalisme politique peut exiger des mesures et des technologies de transition, à condition qu’elles soient toujours accompagnées par le projet et par l’acceptation d’engagements progressifs contraignants. Mais, tant au niveau national que local il reste beaucoup à faire, comme, par exemple, promouvoir des formes d’économies d’énergie. Ceci implique de favoriser des modes de production industrielle ayant une efficacité énergétique maximale et utilisant moins de matière première, retirant du marché les produits peu efficaces du point de vue énergétique, ou plus polluants. On peut aussi mentionner une bonne gestion des transports, ou des formes de construction ou de réfection d’édifices qui réduisent leur consommation énergétique et leur </w:t>
      </w:r>
      <w:r w:rsidRPr="00BB7338">
        <w:rPr>
          <w:rFonts w:ascii="DroidSansRegular" w:eastAsia="Times New Roman" w:hAnsi="DroidSansRegular" w:cs="Times New Roman"/>
          <w:sz w:val="36"/>
          <w:lang w:eastAsia="fr-FR"/>
        </w:rPr>
        <w:lastRenderedPageBreak/>
        <w:t>niveau de pollution. D’autre part, l’action politique locale peut s’orienter vers la modification de la consommation, le développement d’une économie des déchets et du recyclage, la protection des espèces et la programmation d’une agriculture diversifiée avec la rotation des cultures. Il est possible d’encourager l’amélioration agricole de régions pauvres par les investissements dans des infrastructures rurales, dans l’organisation du marché local ou national, dans des systèmes d’irrigation, dans le développement de techniques agricoles durables. On peut faciliter des formes de coopération ou d’organisation communautaire qui défendent les intérêts des petits producteurs et préservent les écosystèmes locaux de la déprédation. Il y a tant de choses que l’on peut faire !</w:t>
      </w:r>
    </w:p>
    <w:p w14:paraId="39D1D518"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 xml:space="preserve">181. La continuité est indispensable parce que les politiques relatives au changement climatique et à la sauvegarde de l’environnement ne peuvent pas changer chaque fois que change un gouvernement. Les résultats demandent beaucoup de temps et supposent des coûts immédiats, avec des effets qui ne seront pas visibles au cours du mandat du gouvernement concerné. C’est pourquoi sans la pression de la population et des institutions, il y aura toujours de la résistance à intervenir, plus encore quand il y aura des urgences à affronter. Qu’un homme politique assume ces responsabilités avec les coûts que cela implique, ne répond pas à la logique d’efficacité et d’immédiateté de l’économie ni à celle de la politique actuelle ; mais s’il ose le faire, cela le conduira à reconnaître la dignité que Dieu lui a donnée comme homme, et il laissera dans l’histoire un témoignage de généreuse responsabilité. Il faut accorder une place prépondérante à une saine politique, capable de réformer les institutions, de les coordonner et de les doter de meilleures pratiques qui permettent de vaincre les pressions et les inerties vicieuses. Cependant, il faut ajouter que les meilleurs mécanismes finissent par succomber quand manquent </w:t>
      </w:r>
      <w:r w:rsidRPr="00BB7338">
        <w:rPr>
          <w:rFonts w:ascii="DroidSansRegular" w:eastAsia="Times New Roman" w:hAnsi="DroidSansRegular" w:cs="Times New Roman"/>
          <w:sz w:val="36"/>
          <w:lang w:eastAsia="fr-FR"/>
        </w:rPr>
        <w:lastRenderedPageBreak/>
        <w:t>les grandes finalités, les valeurs, une compréhension humaniste et riche de sens qui donnent à chaque société une orientation noble et généreuse.</w:t>
      </w:r>
    </w:p>
    <w:p w14:paraId="39D1D519" w14:textId="77777777" w:rsidR="00BB7338" w:rsidRPr="00BB7338" w:rsidRDefault="00BB7338" w:rsidP="00BB7338">
      <w:pPr>
        <w:keepNext/>
        <w:keepLines/>
        <w:spacing w:before="600"/>
        <w:outlineLvl w:val="1"/>
        <w:rPr>
          <w:rFonts w:eastAsia="Times New Roman" w:cstheme="majorBidi"/>
          <w:b/>
          <w:color w:val="C00000"/>
          <w:sz w:val="52"/>
          <w:szCs w:val="26"/>
          <w:lang w:eastAsia="fr-FR"/>
        </w:rPr>
      </w:pPr>
      <w:bookmarkStart w:id="5" w:name="_Toc427335353"/>
      <w:r w:rsidRPr="00BB7338">
        <w:rPr>
          <w:rFonts w:eastAsia="Times New Roman" w:cstheme="majorBidi"/>
          <w:b/>
          <w:color w:val="C00000"/>
          <w:sz w:val="52"/>
          <w:szCs w:val="26"/>
          <w:lang w:eastAsia="fr-FR"/>
        </w:rPr>
        <w:t>III. DIALOGUE ET TRANSPARENCE DANS LES PROCESSUS DE PRISE DE DÉCISIONS</w:t>
      </w:r>
      <w:bookmarkEnd w:id="5"/>
    </w:p>
    <w:p w14:paraId="39D1D51A"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182. La prévision de l’impact sur l’environnement des initiatives et des projets requiert des processus politiques transparents et soumis au dialogue, alors que la corruption, qui cache le véritable impact environnemental d’un projet en échange de faveurs, conduit habituellement à des accords fallacieux au sujet desquels on évite information et large débat.</w:t>
      </w:r>
    </w:p>
    <w:p w14:paraId="39D1D51B"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 xml:space="preserve">183. Une étude de l’impact sur l’environnement ne devrait pas être postérieure à l’élaboration d’un projet de production ou d’une quelconque politique, plan ou programme à réaliser. Il faut qu’elle soit insérée dès le début, et élaborée de manière interdisciplinaire, transparente et indépendante de toute pression économique ou politique. Elle doit être en lien avec l’analyse des conditions de travail et l’analyse des effets possibles, entre autres, sur la santé physique et mentale des personnes, sur l’économie locale, sur la sécurité. Les résultats économiques pourront être ainsi déduits de manière plus réaliste, prenant en compte les scénarios possibles et prévoyant éventuellement la nécessité d’un plus grand investissement pour affronter les effets indésirables qui peuvent être corrigés. Il est toujours nécessaire d’arriver à un consensus entre les différents acteurs sociaux, qui peuvent offrir des points de vue, des solutions et des alternatives différents. Mais à la table de discussion, les habitants locaux doivent avoir une place privilégiée, eux qui se demandent ce qu’ils veulent pour eux et </w:t>
      </w:r>
      <w:r w:rsidRPr="00BB7338">
        <w:rPr>
          <w:rFonts w:ascii="DroidSansRegular" w:eastAsia="Times New Roman" w:hAnsi="DroidSansRegular" w:cs="Times New Roman"/>
          <w:sz w:val="36"/>
          <w:lang w:eastAsia="fr-FR"/>
        </w:rPr>
        <w:lastRenderedPageBreak/>
        <w:t>pour leurs enfants, et qui peuvent considérer les objectifs qui transcendent l’intérêt économique immédiat. Il faut cesser de penser en terme d’“interventions” sur l’environnement, pour élaborer des politiques conçues et discutées par toutes les parties intéressées. La participation requiert que tous soient convenablement informés sur les divers aspects ainsi que sur les différents risques et possibilités ; elle ne se limite pas à la décision initiale d’un projet, mais concerne aussi les actions de suivi et de surveillance constante. La sincérité et la vérité sont nécessaires dans les discussions scientifiques et politiques, qui ne doivent pas se limiter à considérer ce qui est permis ou non par la législation.</w:t>
      </w:r>
    </w:p>
    <w:p w14:paraId="39D1D51C"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184. Quand d’éventuels risques pour l’environnement, qui affectent le bien commun, présent et futur, apparaissent, cette situation exige que « les décisions soient fondées sur une confrontation entre les risques et les bénéfices envisageables pour tout choix alternatif possible</w:t>
      </w:r>
      <w:r w:rsidRPr="00BB7338">
        <w:rPr>
          <w:rFonts w:ascii="DroidSansRegular" w:eastAsia="Times New Roman" w:hAnsi="DroidSansRegular" w:cs="Times New Roman"/>
          <w:sz w:val="36"/>
          <w:vertAlign w:val="superscript"/>
          <w:lang w:eastAsia="fr-FR"/>
        </w:rPr>
        <w:footnoteReference w:id="6"/>
      </w:r>
      <w:r w:rsidRPr="00BB7338">
        <w:rPr>
          <w:rFonts w:ascii="DroidSansRegular" w:eastAsia="Times New Roman" w:hAnsi="DroidSansRegular" w:cs="Times New Roman"/>
          <w:sz w:val="36"/>
          <w:lang w:eastAsia="fr-FR"/>
        </w:rPr>
        <w:t> ». Cela vaut surtout si un projet peut entraîner un accroissement de l’utilisation des ressources naturelles, des émissions ou des rejets, de la production de déchets, ou une modification significative du paysage, de l’habitat des espèces protégées, ou d’un espace public. Certains projets qui ne sont pas suffisamment analysés peuvent affecter profondément la qualité de vie dans un milieu pour des raisons très diverses, comme une pollution acoustique non prévue, la réduction du champ visuel, la perte de valeurs culturelles, les effets de l’utilisation de l’énergie nucléaire. La culture consumériste, qui donne priorité au court terme et à l’intérêt privé, peut encourager des procédures trop rapides ou permettre la dissimulation d’information.</w:t>
      </w:r>
    </w:p>
    <w:p w14:paraId="39D1D51D"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 xml:space="preserve">185. Dans toute discussion autour d’une initiative, une série de questions devrait se poser en vue de discerner si elle offrira ou </w:t>
      </w:r>
      <w:r w:rsidRPr="00BB7338">
        <w:rPr>
          <w:rFonts w:ascii="DroidSansRegular" w:eastAsia="Times New Roman" w:hAnsi="DroidSansRegular" w:cs="Times New Roman"/>
          <w:sz w:val="36"/>
          <w:lang w:eastAsia="fr-FR"/>
        </w:rPr>
        <w:lastRenderedPageBreak/>
        <w:t xml:space="preserve">non un véritable développement intégral : Pour quoi ? Par quoi ? Où ? Quand ? De quelle manière ? Pour qui ? Quels sont les risques ? À quel coût ? Qui paiera les coûts et comment le </w:t>
      </w:r>
      <w:proofErr w:type="spellStart"/>
      <w:r w:rsidRPr="00BB7338">
        <w:rPr>
          <w:rFonts w:ascii="DroidSansRegular" w:eastAsia="Times New Roman" w:hAnsi="DroidSansRegular" w:cs="Times New Roman"/>
          <w:sz w:val="36"/>
          <w:lang w:eastAsia="fr-FR"/>
        </w:rPr>
        <w:t>fera-t-il</w:t>
      </w:r>
      <w:proofErr w:type="spellEnd"/>
      <w:r w:rsidRPr="00BB7338">
        <w:rPr>
          <w:rFonts w:ascii="DroidSansRegular" w:eastAsia="Times New Roman" w:hAnsi="DroidSansRegular" w:cs="Times New Roman"/>
          <w:sz w:val="36"/>
          <w:lang w:eastAsia="fr-FR"/>
        </w:rPr>
        <w:t> ? Dans ce discernement, certaines questions doivent avoir la priorité. Par exemple, nous savons que l’eau est une ressource limitée et indispensable, et y avoir accès est un droit fondamental qui conditionne l’exercice des autres droits humains. Ceci est indubitable et conditionne toute analyse de l’impact environnemental d’une région.</w:t>
      </w:r>
    </w:p>
    <w:p w14:paraId="39D1D51E"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186. Dans la Déclaration de Rio de 1992, il est affirmé : « En cas de risque de dommages graves ou irréversibles, l’absence de certitude scientifique absolue ne doit pas servir de prétexte pour remettre à plus tard l’adoption de mesures effectives</w:t>
      </w:r>
      <w:r w:rsidRPr="00BB7338">
        <w:rPr>
          <w:rFonts w:ascii="DroidSansRegular" w:eastAsia="Times New Roman" w:hAnsi="DroidSansRegular" w:cs="Times New Roman"/>
          <w:sz w:val="36"/>
          <w:vertAlign w:val="superscript"/>
          <w:lang w:eastAsia="fr-FR"/>
        </w:rPr>
        <w:footnoteReference w:id="7"/>
      </w:r>
      <w:r w:rsidRPr="00BB7338">
        <w:rPr>
          <w:rFonts w:ascii="DroidSansRegular" w:eastAsia="Times New Roman" w:hAnsi="DroidSansRegular" w:cs="Times New Roman"/>
          <w:sz w:val="36"/>
          <w:lang w:eastAsia="fr-FR"/>
        </w:rPr>
        <w:t> » qui empêcheraient la dégradation de l’environnement. Ce principe de précaution permet la protection des plus faibles, qui disposent de peu de moyens pour se défendre et pour apporter des preuves irréfutables. Si l’information objective conduit à prévoir un dommage grave et irréversible, bien qu’il n’y ait pas de preuve indiscutable, tout projet devra être arrêté ou modifié. Ainsi, on inverse la charge de la preuve, puisque dans ce cas il faut apporter une démonstration objective et indiscutable que l’activité proposée ne va pas générer de graves dommages à l’environnement ou à ceux qui y habitent.</w:t>
      </w:r>
    </w:p>
    <w:p w14:paraId="39D1D51F"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 xml:space="preserve">187. Cela n’entraîne pas qu’il faille s’opposer à toute innovation technologique qui permette d’améliorer la qualité de vie d’une population. Mais, dans tous les cas, il doit toujours être bien établi que la rentabilité ne peut pas être l’unique élément à prendre en compte et que, au moment où apparaissent de nouveaux critères de jugement à partir de l’évolution de l’information, il devrait y avoir une nouvelle évaluation avec la participation de toutes les parties intéressées. Le résultat de la </w:t>
      </w:r>
      <w:r w:rsidRPr="00BB7338">
        <w:rPr>
          <w:rFonts w:ascii="DroidSansRegular" w:eastAsia="Times New Roman" w:hAnsi="DroidSansRegular" w:cs="Times New Roman"/>
          <w:sz w:val="36"/>
          <w:lang w:eastAsia="fr-FR"/>
        </w:rPr>
        <w:lastRenderedPageBreak/>
        <w:t>discussion pourrait être la décision de ne pas avancer dans un projet, mais pourrait être aussi sa modification ou l’élaboration de propositions alternatives.</w:t>
      </w:r>
    </w:p>
    <w:p w14:paraId="39D1D520"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188. Dans certaines discussions sur des questions liées à l’environnement, il est difficile de parvenir à un consensus. Encore une fois je répète que l’Église n’a pas la prétention de juger des questions scientifiques ni de se substituer à la politique, mais j’invite à un débat honnête et transparent, pour que les besoins particuliers ou les idéologies n’affectent pas le bien commun.</w:t>
      </w:r>
    </w:p>
    <w:p w14:paraId="39D1D521" w14:textId="77777777" w:rsidR="00BB7338" w:rsidRPr="00BB7338" w:rsidRDefault="00BB7338" w:rsidP="00BB7338">
      <w:pPr>
        <w:keepNext/>
        <w:keepLines/>
        <w:spacing w:before="600"/>
        <w:outlineLvl w:val="1"/>
        <w:rPr>
          <w:rFonts w:eastAsia="Times New Roman" w:cstheme="majorBidi"/>
          <w:b/>
          <w:color w:val="C00000"/>
          <w:sz w:val="52"/>
          <w:szCs w:val="26"/>
          <w:lang w:eastAsia="fr-FR"/>
        </w:rPr>
      </w:pPr>
      <w:bookmarkStart w:id="6" w:name="_Toc427335354"/>
      <w:r w:rsidRPr="00BB7338">
        <w:rPr>
          <w:rFonts w:eastAsia="Times New Roman" w:cstheme="majorBidi"/>
          <w:b/>
          <w:color w:val="C00000"/>
          <w:sz w:val="52"/>
          <w:szCs w:val="26"/>
          <w:lang w:eastAsia="fr-FR"/>
        </w:rPr>
        <w:t>IV. POLITIQUE ET ÉCONOMIE EN DIALOGUE POUR LA PLÉNITUDE HUMAINE</w:t>
      </w:r>
      <w:bookmarkEnd w:id="6"/>
    </w:p>
    <w:p w14:paraId="39D1D522"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 xml:space="preserve">189. La politique ne doit pas se soumettre à l’économie et celle-ci ne doit pas se soumettre aux diktats ni au paradigme d’efficacité de la technocratie. Aujourd’hui, en pensant au bien commun, nous avons impérieusement besoin que la politique et l’économie, en dialogue, se mettent résolument au service de la vie, spécialement de la vie humaine. Sauver les banques à tout prix, en en faisant payer le prix à la population, sans la ferme décision de revoir et de réformer le système dans son ensemble, réaffirme une emprise absolue des finances qui n’a pas d’avenir et qui pourra seulement générer de nouvelles crises après une longue, couteuse et apparente guérison. La crise financière de 2007-2008 était une occasion pour le développement d’une nouvelle économie plus attentive aux principes éthiques, et pour une nouvelle régulation de l’activité financière spéculative et de la richesse fictive. Mais il n’y a pas eu de réaction qui aurait conduit à repenser les critères obsolètes qui continuent à régir </w:t>
      </w:r>
      <w:r w:rsidRPr="00BB7338">
        <w:rPr>
          <w:rFonts w:ascii="DroidSansRegular" w:eastAsia="Times New Roman" w:hAnsi="DroidSansRegular" w:cs="Times New Roman"/>
          <w:sz w:val="36"/>
          <w:lang w:eastAsia="fr-FR"/>
        </w:rPr>
        <w:lastRenderedPageBreak/>
        <w:t>le monde. La production n’est pas toujours rationnelle, et souvent elle est liée à des variables économiques qui fixent pour les produits une valeur qui ne correspond pas à leur valeur réelle. Cela conduit souvent à la surproduction de certaines marchandises, avec un impact inutile sur l’environnement qui, en même temps, porte préjudice à de nombreuses économies régionales</w:t>
      </w:r>
      <w:r w:rsidRPr="00BB7338">
        <w:rPr>
          <w:rFonts w:ascii="DroidSansRegular" w:eastAsia="Times New Roman" w:hAnsi="DroidSansRegular" w:cs="Times New Roman"/>
          <w:sz w:val="36"/>
          <w:vertAlign w:val="superscript"/>
          <w:lang w:eastAsia="fr-FR"/>
        </w:rPr>
        <w:footnoteReference w:id="8"/>
      </w:r>
      <w:r w:rsidRPr="00BB7338">
        <w:rPr>
          <w:rFonts w:ascii="DroidSansRegular" w:eastAsia="Times New Roman" w:hAnsi="DroidSansRegular" w:cs="Times New Roman"/>
          <w:sz w:val="36"/>
          <w:lang w:eastAsia="fr-FR"/>
        </w:rPr>
        <w:t>. La bulle financière est aussi, en général, une bulle productive. En définitive, n’est pas affrontée avec énergie la question de l’économie réelle, qui permet par exemple que la production se diversifie et s’améliore, que les entreprises fonctionnent bien, que les petites et moyennes entreprises se développent et créent des emplois.</w:t>
      </w:r>
    </w:p>
    <w:p w14:paraId="39D1D523"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190. Dans ce contexte, il faut toujours se rappeler que « la protection de l’environnement ne peut pas être assurée uniquement en fonction du calcul financier des coûts et des bénéfices. L’environnement fait partie de ces biens que les mécanismes du marché ne sont pas en mesure de défendre ou de promouvoir de façon adéquate</w:t>
      </w:r>
      <w:r w:rsidRPr="00BB7338">
        <w:rPr>
          <w:rFonts w:ascii="DroidSansRegular" w:eastAsia="Times New Roman" w:hAnsi="DroidSansRegular" w:cs="Times New Roman"/>
          <w:sz w:val="36"/>
          <w:vertAlign w:val="superscript"/>
          <w:lang w:eastAsia="fr-FR"/>
        </w:rPr>
        <w:footnoteReference w:id="9"/>
      </w:r>
      <w:r w:rsidRPr="00BB7338">
        <w:rPr>
          <w:rFonts w:ascii="DroidSansRegular" w:eastAsia="Times New Roman" w:hAnsi="DroidSansRegular" w:cs="Times New Roman"/>
          <w:sz w:val="36"/>
          <w:lang w:eastAsia="fr-FR"/>
        </w:rPr>
        <w:t xml:space="preserve"> ». Une fois de plus, il faut éviter une conception magique du marché qui fait penser que les problèmes se résoudront tout seuls par l’accroissement des bénéfices des entreprises ou des individus. Est-il réaliste d’espérer que celui qui a l’obsession du bénéfice maximum s’attarde à penser aux effets environnementaux qu’il laissera aux prochaines générations ? Dans le schéma du gain il n’y a pas de place pour penser aux rythmes de la nature, à ses périodes de dégradation et de régénération, ni à la complexité des écosystèmes qui peuvent être gravement altérés par l’intervention humaine. De plus, quand on parle de biodiversité, on la conçoit au mieux comme une réserve de ressources économiques qui pourrait être exploitée, mais on ne prend pas </w:t>
      </w:r>
      <w:r w:rsidRPr="00BB7338">
        <w:rPr>
          <w:rFonts w:ascii="DroidSansRegular" w:eastAsia="Times New Roman" w:hAnsi="DroidSansRegular" w:cs="Times New Roman"/>
          <w:sz w:val="36"/>
          <w:lang w:eastAsia="fr-FR"/>
        </w:rPr>
        <w:lastRenderedPageBreak/>
        <w:t>en compte sérieusement, entre autres, la valeur réelle des choses, leur signification pour les personnes et les cultures, les intérêts et les nécessités des pauvres.</w:t>
      </w:r>
    </w:p>
    <w:p w14:paraId="39D1D524"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191. Quand on pose ces questions, certains réagissent en accusant les autres de prétendre arrêter irrationnellement le progrès et le développement humain. Mais nous devons nous convaincre que ralentir un rythme déterminé de production et de consommation peut donner lieu à d’autres formes de progrès et de développement. Les efforts pour une exploitation durable des ressources naturelles ne sont pas une dépense inutile, mais un investissement qui pourra générer d’autres bénéfices économiques à moyen terme. Si nous ne souffrons pas d’étroitesse de vue, nous pouvons découvrir que la diversification d’une production plus innovante, et ce avec un moindre impact sur l’environnement, peut être très rentable. Il s’agit d’ouvrir le chemin à différentes opportunités qui n’impliquent pas d’arrêter la créativité de l’homme et son rêve de progrès, mais d’orienter cette énergie vers des voies nouvelles.</w:t>
      </w:r>
    </w:p>
    <w:p w14:paraId="39D1D525"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 xml:space="preserve">192. Par exemple, un chemin de développement productif plus créatif et mieux orienté pourrait corriger le fait qu’il y a un investissement technologique excessif pour la consommation et faible pour résoudre les problèmes en suspens de l’humanité ; il pourrait générer des formes intelligentes et rentables de réutilisation, d’utilisation multifonctionnelle et de recyclage ; il pourrait encore améliorer l’efficacité énergétique des villes. La diversification de la production ouvre d’immenses possibilités à l’intelligence humaine pour créer et innover, en même temps qu’elle protège l’environnement et crée plus d’emplois. Ce serait une créativité capable de faire fleurir de nouveau la noblesse de l’être humain, parce qu’il est plus digne d’utiliser l’intelligence, avec audace et responsabilité, pour trouver des </w:t>
      </w:r>
      <w:r w:rsidRPr="00BB7338">
        <w:rPr>
          <w:rFonts w:ascii="DroidSansRegular" w:eastAsia="Times New Roman" w:hAnsi="DroidSansRegular" w:cs="Times New Roman"/>
          <w:sz w:val="36"/>
          <w:lang w:eastAsia="fr-FR"/>
        </w:rPr>
        <w:lastRenderedPageBreak/>
        <w:t>formes de développement durable et équitable, dans le cadre d’une conception plus large de ce qu’est la qualité de vie. Inversement, il est moins digne, il est superficiel et moins créatif de continuer à créer des formes de pillage de la nature seulement pour offrir de nouvelles possibilités de consommation et de gain immédiat.</w:t>
      </w:r>
    </w:p>
    <w:p w14:paraId="39D1D526"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193. De toute manière, si dans certains cas le développement durable entraînera de nouvelles formes de croissance, dans d’autres cas, face à l’accroissement vorace et irresponsable produit durant de nombreuses décennies, il faudra penser aussi à marquer une pause en mettant certaines limites raisonnables, voire à retourner en arrière avant qu’il ne soit trop tard. Nous savons que le comportement de ceux qui consomment et détruisent toujours davantage n’est pas soutenable, tandis que d’autres ne peuvent pas vivre conformément à leur dignité humaine. C’est pourquoi l’heure est venue d’accepter une certaine décroissance dans quelques parties du monde, mettant à disposition des ressources pour une saine croissance en d’autres parties. Benoît XVI affirmait qu’ « il est nécessaire que les sociétés technologiquement avancées soient disposées à favoriser des comportements plus sobres, réduisant leurs propres besoins d’énergie et améliorant les conditions de son utilisation</w:t>
      </w:r>
      <w:r w:rsidRPr="00BB7338">
        <w:rPr>
          <w:rFonts w:ascii="DroidSansRegular" w:eastAsia="Times New Roman" w:hAnsi="DroidSansRegular" w:cs="Times New Roman"/>
          <w:sz w:val="36"/>
          <w:vertAlign w:val="superscript"/>
          <w:lang w:eastAsia="fr-FR"/>
        </w:rPr>
        <w:footnoteReference w:id="10"/>
      </w:r>
      <w:r w:rsidRPr="00BB7338">
        <w:rPr>
          <w:rFonts w:ascii="DroidSansRegular" w:eastAsia="Times New Roman" w:hAnsi="DroidSansRegular" w:cs="Times New Roman"/>
          <w:sz w:val="36"/>
          <w:lang w:eastAsia="fr-FR"/>
        </w:rPr>
        <w:t xml:space="preserve"> ». </w:t>
      </w:r>
    </w:p>
    <w:p w14:paraId="39D1D527"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194. Pour que surgissent de nouveaux modèles de progrès nous devons « convertir le modèle de développement global</w:t>
      </w:r>
      <w:r w:rsidRPr="00BB7338">
        <w:rPr>
          <w:rFonts w:ascii="DroidSansRegular" w:eastAsia="Times New Roman" w:hAnsi="DroidSansRegular" w:cs="Times New Roman"/>
          <w:sz w:val="36"/>
          <w:vertAlign w:val="superscript"/>
          <w:lang w:eastAsia="fr-FR"/>
        </w:rPr>
        <w:footnoteReference w:id="11"/>
      </w:r>
      <w:r w:rsidRPr="00BB7338">
        <w:rPr>
          <w:rFonts w:ascii="DroidSansRegular" w:eastAsia="Times New Roman" w:hAnsi="DroidSansRegular" w:cs="Times New Roman" w:hint="eastAsia"/>
          <w:sz w:val="36"/>
          <w:lang w:eastAsia="fr-FR"/>
        </w:rPr>
        <w:t> »</w:t>
      </w:r>
      <w:r w:rsidRPr="00BB7338">
        <w:rPr>
          <w:rFonts w:ascii="DroidSansRegular" w:eastAsia="Times New Roman" w:hAnsi="DroidSansRegular" w:cs="Times New Roman"/>
          <w:sz w:val="36"/>
          <w:lang w:eastAsia="fr-FR"/>
        </w:rPr>
        <w:t>, ce qui implique de réfléchir de manière responsable « sur le sens de l’économie et de ses objectifs, pour en corriger les dysfonctionnements et les déséquilibres</w:t>
      </w:r>
      <w:r w:rsidRPr="00BB7338">
        <w:rPr>
          <w:rFonts w:ascii="DroidSansRegular" w:eastAsia="Times New Roman" w:hAnsi="DroidSansRegular" w:cs="Times New Roman"/>
          <w:sz w:val="36"/>
          <w:vertAlign w:val="superscript"/>
          <w:lang w:eastAsia="fr-FR"/>
        </w:rPr>
        <w:footnoteReference w:id="12"/>
      </w:r>
      <w:r w:rsidRPr="00BB7338">
        <w:rPr>
          <w:rFonts w:ascii="DroidSansRegular" w:eastAsia="Times New Roman" w:hAnsi="DroidSansRegular" w:cs="Times New Roman"/>
          <w:sz w:val="36"/>
          <w:lang w:eastAsia="fr-FR"/>
        </w:rPr>
        <w:t xml:space="preserve"> ». Il ne suffit pas de concilier, en un juste milieu, la protection de la nature et le profit financier, ou la préservation de l’environnement et le </w:t>
      </w:r>
      <w:r w:rsidRPr="00BB7338">
        <w:rPr>
          <w:rFonts w:ascii="DroidSansRegular" w:eastAsia="Times New Roman" w:hAnsi="DroidSansRegular" w:cs="Times New Roman"/>
          <w:sz w:val="36"/>
          <w:lang w:eastAsia="fr-FR"/>
        </w:rPr>
        <w:lastRenderedPageBreak/>
        <w:t>progrès. Sur ces questions, les justes milieux retardent seulement un peu l’effondrement. Il s’agit simplement de redéfinir le progrès. Un développement technologique et économique qui ne laisse pas un monde meilleur et une qualité de vie intégralement supérieure ne peut pas être considéré comme un progrès. D’autre part, la qualité réelle de vie des personnes diminue souvent – à cause de la détérioration de l’environnement, de la mauvaise qualité des produits alimentaires eux-mêmes ou de l’épuisement de certaines ressources – dans un contexte de croissance économique. Dans ce cadre, le discours de la croissance durable devient souvent un moyen de distraction et de justification qui enferme les valeurs du discours écologique dans la logique des finances et de la technocratie ; la responsabilité sociale et environnementale des entreprises se réduit d’ordinaire à une série d’actions de marketing et d’image.</w:t>
      </w:r>
    </w:p>
    <w:p w14:paraId="39D1D528"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 xml:space="preserve">195. Le principe de la maximalisation du gain, qui tend à s’isoler de toute autre considération, est une distorsion conceptuelle de l’économie : si la production augmente, il importe peu que cela se fasse au prix des ressources futures ou de la santé de l’environnement ; si l’exploitation d’une forêt fait augmenter la production, personne ne mesure dans ce calcul la perte qu’implique la désertification du territoire, le dommage causé à la biodiversité ou l’augmentation de la pollution. Cela veut dire que les entreprises obtiennent des profits en calculant et en payant une part infime des coûts. Seul pourrait être considéré comme éthique un comportement dans lequel « les coûts économiques et sociaux dérivant de l’usage des ressources naturelles communes soient établis de façon transparente et soient entièrement supportés par ceux qui en jouissent et non par les autres populations ou par les générations </w:t>
      </w:r>
      <w:r w:rsidRPr="00BB7338">
        <w:rPr>
          <w:rFonts w:ascii="DroidSansRegular" w:eastAsia="Times New Roman" w:hAnsi="DroidSansRegular" w:cs="Times New Roman"/>
          <w:sz w:val="36"/>
          <w:lang w:eastAsia="fr-FR"/>
        </w:rPr>
        <w:lastRenderedPageBreak/>
        <w:t>futures</w:t>
      </w:r>
      <w:r w:rsidRPr="00BB7338">
        <w:rPr>
          <w:rFonts w:ascii="DroidSansRegular" w:eastAsia="Times New Roman" w:hAnsi="DroidSansRegular" w:cs="Times New Roman"/>
          <w:sz w:val="36"/>
          <w:vertAlign w:val="superscript"/>
          <w:lang w:eastAsia="fr-FR"/>
        </w:rPr>
        <w:footnoteReference w:id="13"/>
      </w:r>
      <w:r w:rsidRPr="00BB7338">
        <w:rPr>
          <w:rFonts w:ascii="DroidSansRegular" w:eastAsia="Times New Roman" w:hAnsi="DroidSansRegular" w:cs="Times New Roman"/>
          <w:sz w:val="36"/>
          <w:lang w:eastAsia="fr-FR"/>
        </w:rPr>
        <w:t> ». La rationalité instrumentale, qui fait seulement une analyse statique de la réalité en fonction des nécessités du moment, est présente aussi bien quand c’est le marché qui assigne les ressources, que lorsqu’un État planificateur le fait.</w:t>
      </w:r>
    </w:p>
    <w:p w14:paraId="39D1D529"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196. Qu’en est-il de la politique ? Rappelons le principe de subsidiarité qui donne la liberté au développement des capacités présentes à tous les niveaux, mais qui exige en même temps plus de responsabilité pour le bien commun de la part de celui qui détient plus de pouvoir. Il est vrai qu’aujourd’hui certains secteurs économiques exercent davantage de pouvoir que les États eux-mêmes. Mais on ne peut pas justifier une économie sans politique, qui serait incapable de promouvoir une autre logique qui régisse les divers aspects de la crise actuelle. La logique qui ne permet pas d’envisager une préoccupation sincère pour l’environnement est la même qui empêche de nourrir le souci d’intégrer les plus fragiles, parce que « dans le modèle actuel de ‘succès’ et de ‘droit privé’, il ne semble pas que cela ait un sens de s’investir pour que ceux qui restent en arrière, les faibles ou les moins pourvus, puissent se faire un chemin dans la vie</w:t>
      </w:r>
      <w:r w:rsidRPr="00BB7338">
        <w:rPr>
          <w:rFonts w:ascii="DroidSansRegular" w:eastAsia="Times New Roman" w:hAnsi="DroidSansRegular" w:cs="Times New Roman"/>
          <w:sz w:val="36"/>
          <w:vertAlign w:val="superscript"/>
          <w:lang w:eastAsia="fr-FR"/>
        </w:rPr>
        <w:footnoteReference w:id="14"/>
      </w:r>
      <w:r w:rsidRPr="00BB7338">
        <w:rPr>
          <w:rFonts w:ascii="DroidSansRegular" w:eastAsia="Times New Roman" w:hAnsi="DroidSansRegular" w:cs="Times New Roman"/>
          <w:sz w:val="36"/>
          <w:lang w:eastAsia="fr-FR"/>
        </w:rPr>
        <w:t xml:space="preserve"> ». </w:t>
      </w:r>
    </w:p>
    <w:p w14:paraId="39D1D52A"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 xml:space="preserve">197. Nous avons besoin d’une politique aux vues larges, qui suive une approche globale en intégrant dans un dialogue interdisciplinaire les divers aspects de la crise. Souvent la politique elle-même est responsable de son propre discrédit, à cause de la corruption et du manque de bonnes politiques publiques. Si l’État ne joue pas son rôle dans une région, certains groupes économiques peuvent apparaître comme des bienfaiteurs et s’approprier le pouvoir réel, se sentant autorisés à ne pas respecter certaines normes, jusqu’à donner lieu à diverses formes de criminalité organisée, de traite de personnes, </w:t>
      </w:r>
      <w:r w:rsidRPr="00BB7338">
        <w:rPr>
          <w:rFonts w:ascii="DroidSansRegular" w:eastAsia="Times New Roman" w:hAnsi="DroidSansRegular" w:cs="Times New Roman"/>
          <w:sz w:val="36"/>
          <w:lang w:eastAsia="fr-FR"/>
        </w:rPr>
        <w:lastRenderedPageBreak/>
        <w:t>de narcotrafic, et de violence, très difficiles à éradiquer. Si la politique n’est pas capable de rompre une logique perverse, et de plus reste enfermée dans des discours appauvris, nous continuerons à ne pas faire face aux grands problèmes de l’humanité. Une stratégie de changement réel exige de repenser la totalité des processus, puisqu’il ne suffit pas d’inclure des considérations écologiques superficielles pendant qu’on ne remet pas en cause la logique sous-jacente à la culture actuelle. Une saine politique devrait être capable d’assumer ces défis.</w:t>
      </w:r>
    </w:p>
    <w:p w14:paraId="39D1D52B"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198. La politique et l’économie ont tendance à s’accuser mutuellement en ce qui concerne la pauvreté et la dégradation de l’environnement. Mais il faut espérer qu’elles reconnaîtront leurs propres erreurs et trouveront des formes d’interaction orientées vers le bien commun. Pendant que les uns sont obnubilés uniquement par le profit économique et que d’autres ont pour seule obsession la conservation ou l’accroissement de leur pouvoir, ce que nous avons ce sont des guerres, ou bien des accords fallacieux où préserver l’environnement et protéger les plus faibles est ce qui intéresse le moins les deux parties. Là aussi vaut le principe : « l’unité est supérieure au conflit</w:t>
      </w:r>
      <w:r w:rsidRPr="00BB7338">
        <w:rPr>
          <w:rFonts w:ascii="DroidSansRegular" w:eastAsia="Times New Roman" w:hAnsi="DroidSansRegular" w:cs="Times New Roman"/>
          <w:sz w:val="36"/>
          <w:vertAlign w:val="superscript"/>
          <w:lang w:eastAsia="fr-FR"/>
        </w:rPr>
        <w:footnoteReference w:id="15"/>
      </w:r>
      <w:r w:rsidRPr="00BB7338">
        <w:rPr>
          <w:rFonts w:ascii="DroidSansRegular" w:eastAsia="Times New Roman" w:hAnsi="DroidSansRegular" w:cs="Times New Roman"/>
          <w:sz w:val="36"/>
          <w:lang w:eastAsia="fr-FR"/>
        </w:rPr>
        <w:t xml:space="preserve"> ». </w:t>
      </w:r>
    </w:p>
    <w:p w14:paraId="39D1D52C" w14:textId="77777777" w:rsidR="00BB7338" w:rsidRPr="00BB7338" w:rsidRDefault="00BB7338" w:rsidP="00BB7338">
      <w:pPr>
        <w:keepNext/>
        <w:keepLines/>
        <w:spacing w:before="600"/>
        <w:outlineLvl w:val="1"/>
        <w:rPr>
          <w:rFonts w:eastAsia="Times New Roman" w:cstheme="majorBidi"/>
          <w:b/>
          <w:color w:val="C00000"/>
          <w:sz w:val="52"/>
          <w:szCs w:val="26"/>
          <w:lang w:eastAsia="fr-FR"/>
        </w:rPr>
      </w:pPr>
      <w:bookmarkStart w:id="7" w:name="_Toc427335355"/>
      <w:r w:rsidRPr="00BB7338">
        <w:rPr>
          <w:rFonts w:eastAsia="Times New Roman" w:cstheme="majorBidi"/>
          <w:b/>
          <w:color w:val="C00000"/>
          <w:sz w:val="52"/>
          <w:szCs w:val="26"/>
          <w:lang w:eastAsia="fr-FR"/>
        </w:rPr>
        <w:t>V. LES RELIGIONS DANS LE DIALOGUE AVEC LES SCIENCES</w:t>
      </w:r>
      <w:bookmarkEnd w:id="7"/>
    </w:p>
    <w:p w14:paraId="39D1D52D"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 xml:space="preserve">199. On ne peut pas soutenir que les sciences empiriques expliquent complètement la vie, la structure de toutes les créatures et la réalité dans son ensemble. Cela serait outrepasser de façon indue leurs frontières méthodologiques limitées. Si on réfléchit dans ce cadre fermé, la sensibilité esthétique, la poésie, et même la capacité de la raison à percevoir le sens et la finalité </w:t>
      </w:r>
      <w:r w:rsidRPr="00BB7338">
        <w:rPr>
          <w:rFonts w:ascii="DroidSansRegular" w:eastAsia="Times New Roman" w:hAnsi="DroidSansRegular" w:cs="Times New Roman"/>
          <w:sz w:val="36"/>
          <w:lang w:eastAsia="fr-FR"/>
        </w:rPr>
        <w:lastRenderedPageBreak/>
        <w:t>des choses disparaissent</w:t>
      </w:r>
      <w:r w:rsidRPr="00BB7338">
        <w:rPr>
          <w:rFonts w:ascii="DroidSansRegular" w:eastAsia="Times New Roman" w:hAnsi="DroidSansRegular" w:cs="Times New Roman"/>
          <w:sz w:val="36"/>
          <w:vertAlign w:val="superscript"/>
          <w:lang w:eastAsia="fr-FR"/>
        </w:rPr>
        <w:footnoteReference w:id="16"/>
      </w:r>
      <w:r w:rsidRPr="00BB7338">
        <w:rPr>
          <w:rFonts w:ascii="DroidSansRegular" w:eastAsia="Times New Roman" w:hAnsi="DroidSansRegular" w:cs="Times New Roman"/>
          <w:sz w:val="36"/>
          <w:lang w:eastAsia="fr-FR"/>
        </w:rPr>
        <w:t>. Je veux rappeler que « les textes religieux classiques peuvent offrir une signification pour toutes les époques, et ont une force de motivation qui ouvre toujours de nouveaux horizons [...] Est-il raisonnable et intelligent de les reléguer dans l’obscurité, seulement du fait qu’ils proviennent d’un contexte de croyance religieuse ?</w:t>
      </w:r>
      <w:r w:rsidRPr="00BB7338">
        <w:rPr>
          <w:rFonts w:ascii="DroidSansRegular" w:eastAsia="Times New Roman" w:hAnsi="DroidSansRegular" w:cs="Times New Roman"/>
          <w:sz w:val="36"/>
          <w:vertAlign w:val="superscript"/>
          <w:lang w:eastAsia="fr-FR"/>
        </w:rPr>
        <w:footnoteReference w:id="17"/>
      </w:r>
      <w:r w:rsidRPr="00BB7338">
        <w:rPr>
          <w:rFonts w:ascii="DroidSansRegular" w:eastAsia="Times New Roman" w:hAnsi="DroidSansRegular" w:cs="Times New Roman"/>
          <w:sz w:val="36"/>
          <w:lang w:eastAsia="fr-FR"/>
        </w:rPr>
        <w:t> ». En réalité, il est naïf de penser que les principes éthiques puissent se présenter de manière purement abstraite, détachés de tout contexte, et le fait qu’ils apparaissent dans un langage religieux ne les prive pas de toute valeur dans le débat public. Les principes éthiques que la raison est capable de percevoir peuvent réapparaître toujours de manière différente et être exprimés dans des langages divers, y compris religieux.</w:t>
      </w:r>
    </w:p>
    <w:p w14:paraId="39D1D52E" w14:textId="77777777" w:rsidR="00BB7338" w:rsidRPr="00BB7338" w:rsidRDefault="00BB7338" w:rsidP="00BB7338">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BB7338">
        <w:rPr>
          <w:rFonts w:ascii="DroidSansRegular" w:eastAsia="Times New Roman" w:hAnsi="DroidSansRegular" w:cs="Times New Roman"/>
          <w:sz w:val="36"/>
          <w:lang w:eastAsia="fr-FR"/>
        </w:rPr>
        <w:t xml:space="preserve">200. D’autre part, toute solution technique que les sciences prétendent apporter sera incapable de résoudre les graves problèmes du monde si l’humanité perd le cap, si l’on oublie les grandes motivations qui rendent possibles la cohabitation, le sacrifice, la bonté. De toute façon, il faudra inviter les croyants à être cohérents avec leur propre foi et à ne pas la contredire par leurs actions ; il faudra leur demander de s’ouvrir de nouveau à la grâce de Dieu et de puiser au plus profond de leurs propres convictions sur l’amour, la justice et la paix. Si une mauvaise compréhension de nos propres principes nous a parfois conduits à justifier le mauvais traitement de la nature, la domination despotique de l’être humain sur la création, ou les guerres, l’injustice et la violence, nous, les croyants, nous pouvons </w:t>
      </w:r>
      <w:r w:rsidRPr="00BB7338">
        <w:rPr>
          <w:rFonts w:ascii="DroidSansRegular" w:eastAsia="Times New Roman" w:hAnsi="DroidSansRegular" w:cs="Times New Roman"/>
          <w:sz w:val="36"/>
          <w:lang w:eastAsia="fr-FR"/>
        </w:rPr>
        <w:lastRenderedPageBreak/>
        <w:t>reconnaître que nous avons alors été infidèles au trésor de sagesse que nous devions garder. Souvent les limites culturelles des diverses époques ont conditionné cette conscience de leur propre héritage éthique et spirituel, mais c’est précisément le retour à leurs sources qui permet aux religions de mieux répondre aux nécessités actuelles.</w:t>
      </w:r>
    </w:p>
    <w:p w14:paraId="39D1D52F" w14:textId="77777777" w:rsidR="007E3B50" w:rsidRPr="00BB7338" w:rsidRDefault="00BB7338" w:rsidP="00BB7338">
      <w:pPr>
        <w:rPr>
          <w:sz w:val="48"/>
        </w:rPr>
      </w:pPr>
      <w:r w:rsidRPr="00BB7338">
        <w:rPr>
          <w:rFonts w:ascii="DroidSansRegular" w:eastAsia="Times New Roman" w:hAnsi="DroidSansRegular" w:cs="Times New Roman"/>
          <w:sz w:val="36"/>
          <w:lang w:eastAsia="fr-FR"/>
        </w:rPr>
        <w:t>201. La majorité des habitants de la planète se déclare croyante, et cela devrait inciter les religions à entrer dans un dialogue en vue de la sauvegarde de la nature, de la défense des pauvres, de la construction de réseaux de respect et de fraternité. Un dialogue entre les sciences elles-mêmes est aussi nécessaire parce que chacune a l’habitude de s’enfermer dans les limites de son propre langage, et la spécialisation a tendance à devenir isolement et absolutisation du savoir de chacun. Cela empêche d’affronter convenablement les problèmes de l’environnement. Un dialogue ouvert et respectueux devient aussi nécessaire entre les différents mouvements écologistes, où les luttes idéologiques ne manquent pas. La gravité de la crise écologique exige que tous nous pensions au bien commun et avancions sur un chemin de dialogue qui demande patience, ascèse et générosité, nous souvenant toujours que « la réalité est supérieure à l’idée</w:t>
      </w:r>
      <w:r w:rsidRPr="00BB7338">
        <w:rPr>
          <w:rFonts w:ascii="DroidSansRegular" w:eastAsia="Times New Roman" w:hAnsi="DroidSansRegular" w:cs="Times New Roman"/>
          <w:sz w:val="36"/>
          <w:vertAlign w:val="superscript"/>
          <w:lang w:eastAsia="fr-FR"/>
        </w:rPr>
        <w:footnoteReference w:id="18"/>
      </w:r>
      <w:r w:rsidRPr="00BB7338">
        <w:rPr>
          <w:rFonts w:ascii="DroidSansRegular" w:eastAsia="Times New Roman" w:hAnsi="DroidSansRegular" w:cs="Times New Roman"/>
          <w:sz w:val="36"/>
          <w:lang w:eastAsia="fr-FR"/>
        </w:rPr>
        <w:t> ».</w:t>
      </w:r>
    </w:p>
    <w:sectPr w:rsidR="007E3B50" w:rsidRPr="00BB733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uc DUBRULLE" w:date="2015-12-22T19:20:00Z" w:initials="DL">
    <w:p w14:paraId="71358BFE" w14:textId="77777777" w:rsidR="002B74D5" w:rsidRDefault="002B74D5">
      <w:pPr>
        <w:pStyle w:val="Commentaire"/>
      </w:pPr>
      <w:r>
        <w:rPr>
          <w:rStyle w:val="Marquedecommentaire"/>
        </w:rPr>
        <w:annotationRef/>
      </w:r>
      <w:r>
        <w:t>Luc Dubrulle</w:t>
      </w:r>
    </w:p>
    <w:p w14:paraId="69A1383C" w14:textId="0CFDD33A" w:rsidR="002B74D5" w:rsidRPr="002B74D5" w:rsidRDefault="002B74D5">
      <w:pPr>
        <w:pStyle w:val="Commentaire"/>
      </w:pPr>
      <w:r>
        <w:t>Les cinq sous-titres de ce chapitre contiennent tous le mot « dialogue ». Il est ici central et c’est la posture du pape François au cœur des nations : provoquer le dialogue. On se souvient que le pape Paul VI avait caractérisé l’Eglise comme « conversation » (</w:t>
      </w:r>
      <w:proofErr w:type="spellStart"/>
      <w:r>
        <w:rPr>
          <w:i/>
        </w:rPr>
        <w:t>Ecclesiam</w:t>
      </w:r>
      <w:proofErr w:type="spellEnd"/>
      <w:r>
        <w:rPr>
          <w:i/>
        </w:rPr>
        <w:t xml:space="preserve"> </w:t>
      </w:r>
      <w:proofErr w:type="spellStart"/>
      <w:r>
        <w:rPr>
          <w:i/>
        </w:rPr>
        <w:t>suam</w:t>
      </w:r>
      <w:proofErr w:type="spellEnd"/>
      <w:r>
        <w:t xml:space="preserve">) et que ceci avait marqué la constitution pastorale du Concile Vatican II, </w:t>
      </w:r>
      <w:proofErr w:type="spellStart"/>
      <w:r>
        <w:rPr>
          <w:i/>
        </w:rPr>
        <w:t>Gaudium</w:t>
      </w:r>
      <w:proofErr w:type="spellEnd"/>
      <w:r>
        <w:rPr>
          <w:i/>
        </w:rPr>
        <w:t xml:space="preserve"> et </w:t>
      </w:r>
      <w:proofErr w:type="spellStart"/>
      <w:r>
        <w:rPr>
          <w:i/>
        </w:rPr>
        <w:t>Spes</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A138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1D532" w14:textId="77777777" w:rsidR="001C3B11" w:rsidRDefault="001C3B11" w:rsidP="00BB7338">
      <w:pPr>
        <w:spacing w:line="240" w:lineRule="auto"/>
      </w:pPr>
      <w:r>
        <w:separator/>
      </w:r>
    </w:p>
  </w:endnote>
  <w:endnote w:type="continuationSeparator" w:id="0">
    <w:p w14:paraId="39D1D533" w14:textId="77777777" w:rsidR="001C3B11" w:rsidRDefault="001C3B11" w:rsidP="00BB7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San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1D530" w14:textId="77777777" w:rsidR="001C3B11" w:rsidRDefault="001C3B11" w:rsidP="00BB7338">
      <w:pPr>
        <w:spacing w:line="240" w:lineRule="auto"/>
      </w:pPr>
      <w:r>
        <w:separator/>
      </w:r>
    </w:p>
  </w:footnote>
  <w:footnote w:type="continuationSeparator" w:id="0">
    <w:p w14:paraId="39D1D531" w14:textId="77777777" w:rsidR="001C3B11" w:rsidRDefault="001C3B11" w:rsidP="00BB7338">
      <w:pPr>
        <w:spacing w:line="240" w:lineRule="auto"/>
      </w:pPr>
      <w:r>
        <w:continuationSeparator/>
      </w:r>
    </w:p>
  </w:footnote>
  <w:footnote w:id="1">
    <w:p w14:paraId="39D1D534" w14:textId="77777777" w:rsidR="00BB7338" w:rsidRPr="00A138E8" w:rsidRDefault="00BB7338" w:rsidP="00BB7338">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i/>
          <w:iCs/>
          <w:lang w:eastAsia="fr-FR"/>
        </w:rPr>
        <w:t>Déclaration de Rio sur l’</w:t>
      </w:r>
      <w:r>
        <w:rPr>
          <w:rFonts w:ascii="Times New Roman" w:eastAsia="Times New Roman" w:hAnsi="Times New Roman" w:cs="Times New Roman"/>
          <w:i/>
          <w:iCs/>
          <w:lang w:eastAsia="fr-FR"/>
        </w:rPr>
        <w:t>environnement</w:t>
      </w:r>
      <w:r w:rsidRPr="00A138E8">
        <w:rPr>
          <w:rFonts w:ascii="Times New Roman" w:eastAsia="Times New Roman" w:hAnsi="Times New Roman" w:cs="Times New Roman"/>
          <w:i/>
          <w:iCs/>
          <w:lang w:eastAsia="fr-FR"/>
        </w:rPr>
        <w:t xml:space="preserve"> et le développement </w:t>
      </w:r>
      <w:r w:rsidRPr="00A138E8">
        <w:rPr>
          <w:rFonts w:ascii="Times New Roman" w:eastAsia="Times New Roman" w:hAnsi="Times New Roman" w:cs="Times New Roman"/>
          <w:lang w:eastAsia="fr-FR"/>
        </w:rPr>
        <w:t>(14 juin 1992), Principe 1.</w:t>
      </w:r>
    </w:p>
  </w:footnote>
  <w:footnote w:id="2">
    <w:p w14:paraId="39D1D535" w14:textId="77777777" w:rsidR="00BB7338" w:rsidRPr="00A138E8" w:rsidRDefault="00BB7338" w:rsidP="00BB7338">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Conférence des évêques de Bolivie, Lettre pastorale sur l’</w:t>
      </w:r>
      <w:r>
        <w:rPr>
          <w:rFonts w:ascii="Times New Roman" w:eastAsia="Times New Roman" w:hAnsi="Times New Roman" w:cs="Times New Roman"/>
          <w:lang w:eastAsia="fr-FR"/>
        </w:rPr>
        <w:t>environnement</w:t>
      </w:r>
      <w:r w:rsidRPr="00A138E8">
        <w:rPr>
          <w:rFonts w:ascii="Times New Roman" w:eastAsia="Times New Roman" w:hAnsi="Times New Roman" w:cs="Times New Roman"/>
          <w:lang w:eastAsia="fr-FR"/>
        </w:rPr>
        <w:t xml:space="preserve"> et le développement humain en Bolivie </w:t>
      </w:r>
      <w:r w:rsidRPr="00A138E8">
        <w:rPr>
          <w:rFonts w:ascii="Times New Roman" w:eastAsia="Times New Roman" w:hAnsi="Times New Roman" w:cs="Times New Roman"/>
          <w:i/>
          <w:iCs/>
          <w:lang w:eastAsia="fr-FR"/>
        </w:rPr>
        <w:t xml:space="preserve">El </w:t>
      </w:r>
      <w:proofErr w:type="spellStart"/>
      <w:r w:rsidRPr="00A138E8">
        <w:rPr>
          <w:rFonts w:ascii="Times New Roman" w:eastAsia="Times New Roman" w:hAnsi="Times New Roman" w:cs="Times New Roman"/>
          <w:i/>
          <w:iCs/>
          <w:lang w:eastAsia="fr-FR"/>
        </w:rPr>
        <w:t>universo</w:t>
      </w:r>
      <w:proofErr w:type="spellEnd"/>
      <w:r w:rsidRPr="00A138E8">
        <w:rPr>
          <w:rFonts w:ascii="Times New Roman" w:eastAsia="Times New Roman" w:hAnsi="Times New Roman" w:cs="Times New Roman"/>
          <w:i/>
          <w:iCs/>
          <w:lang w:eastAsia="fr-FR"/>
        </w:rPr>
        <w:t xml:space="preserve">, don de </w:t>
      </w:r>
      <w:proofErr w:type="spellStart"/>
      <w:r w:rsidRPr="00A138E8">
        <w:rPr>
          <w:rFonts w:ascii="Times New Roman" w:eastAsia="Times New Roman" w:hAnsi="Times New Roman" w:cs="Times New Roman"/>
          <w:i/>
          <w:iCs/>
          <w:lang w:eastAsia="fr-FR"/>
        </w:rPr>
        <w:t>Dios</w:t>
      </w:r>
      <w:proofErr w:type="spellEnd"/>
      <w:r w:rsidRPr="00A138E8">
        <w:rPr>
          <w:rFonts w:ascii="Times New Roman" w:eastAsia="Times New Roman" w:hAnsi="Times New Roman" w:cs="Times New Roman"/>
          <w:i/>
          <w:iCs/>
          <w:lang w:eastAsia="fr-FR"/>
        </w:rPr>
        <w:t xml:space="preserve"> para la vida </w:t>
      </w:r>
      <w:r w:rsidRPr="00A138E8">
        <w:rPr>
          <w:rFonts w:ascii="Times New Roman" w:eastAsia="Times New Roman" w:hAnsi="Times New Roman" w:cs="Times New Roman"/>
          <w:lang w:eastAsia="fr-FR"/>
        </w:rPr>
        <w:t>(2012), 86.</w:t>
      </w:r>
    </w:p>
  </w:footnote>
  <w:footnote w:id="3">
    <w:p w14:paraId="39D1D536" w14:textId="77777777" w:rsidR="00BB7338" w:rsidRPr="00A138E8" w:rsidRDefault="00BB7338" w:rsidP="00BB7338">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 xml:space="preserve">Conseil Pontifical </w:t>
      </w:r>
      <w:r>
        <w:rPr>
          <w:rFonts w:ascii="Times New Roman" w:eastAsia="Times New Roman" w:hAnsi="Times New Roman" w:cs="Times New Roman"/>
          <w:lang w:eastAsia="fr-FR"/>
        </w:rPr>
        <w:t>« Justice</w:t>
      </w:r>
      <w:r w:rsidRPr="00A138E8">
        <w:rPr>
          <w:rFonts w:ascii="Times New Roman" w:eastAsia="Times New Roman" w:hAnsi="Times New Roman" w:cs="Times New Roman"/>
          <w:lang w:eastAsia="fr-FR"/>
        </w:rPr>
        <w:t xml:space="preserve"> et Paix</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proofErr w:type="spellStart"/>
      <w:r w:rsidRPr="00A138E8">
        <w:rPr>
          <w:rFonts w:ascii="Times New Roman" w:eastAsia="Times New Roman" w:hAnsi="Times New Roman" w:cs="Times New Roman"/>
          <w:i/>
          <w:iCs/>
          <w:lang w:eastAsia="fr-FR"/>
        </w:rPr>
        <w:t>Energia</w:t>
      </w:r>
      <w:proofErr w:type="spellEnd"/>
      <w:r w:rsidRPr="00A138E8">
        <w:rPr>
          <w:rFonts w:ascii="Times New Roman" w:eastAsia="Times New Roman" w:hAnsi="Times New Roman" w:cs="Times New Roman"/>
          <w:i/>
          <w:iCs/>
          <w:lang w:eastAsia="fr-FR"/>
        </w:rPr>
        <w:t>, </w:t>
      </w:r>
      <w:proofErr w:type="spellStart"/>
      <w:r w:rsidRPr="00A138E8">
        <w:rPr>
          <w:rFonts w:ascii="Times New Roman" w:eastAsia="Times New Roman" w:hAnsi="Times New Roman" w:cs="Times New Roman"/>
          <w:i/>
          <w:iCs/>
          <w:lang w:eastAsia="fr-FR"/>
        </w:rPr>
        <w:t>justicia</w:t>
      </w:r>
      <w:proofErr w:type="spellEnd"/>
      <w:r w:rsidRPr="00A138E8">
        <w:rPr>
          <w:rFonts w:ascii="Times New Roman" w:eastAsia="Times New Roman" w:hAnsi="Times New Roman" w:cs="Times New Roman"/>
          <w:i/>
          <w:iCs/>
          <w:lang w:eastAsia="fr-FR"/>
        </w:rPr>
        <w:t xml:space="preserve"> y </w:t>
      </w:r>
      <w:proofErr w:type="spellStart"/>
      <w:r w:rsidRPr="00A138E8">
        <w:rPr>
          <w:rFonts w:ascii="Times New Roman" w:eastAsia="Times New Roman" w:hAnsi="Times New Roman" w:cs="Times New Roman"/>
          <w:i/>
          <w:iCs/>
          <w:lang w:eastAsia="fr-FR"/>
        </w:rPr>
        <w:t>paz</w:t>
      </w:r>
      <w:proofErr w:type="spellEnd"/>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IV, 1, Cité du Vatican (2013), p. 57.</w:t>
      </w:r>
    </w:p>
  </w:footnote>
  <w:footnote w:id="4">
    <w:p w14:paraId="39D1D537" w14:textId="77777777" w:rsidR="00BB7338" w:rsidRPr="00A138E8" w:rsidRDefault="00BB7338" w:rsidP="00BB7338">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Pr>
          <w:rFonts w:ascii="Times New Roman" w:eastAsia="Times New Roman" w:hAnsi="Times New Roman" w:cs="Times New Roman"/>
          <w:lang w:eastAsia="fr-FR"/>
        </w:rPr>
        <w:t>Benoît XVI</w:t>
      </w:r>
      <w:r w:rsidRPr="00A138E8">
        <w:rPr>
          <w:rFonts w:ascii="Times New Roman" w:eastAsia="Times New Roman" w:hAnsi="Times New Roman" w:cs="Times New Roman"/>
          <w:lang w:eastAsia="fr-FR"/>
        </w:rPr>
        <w:t xml:space="preserve">, </w:t>
      </w:r>
      <w:proofErr w:type="spellStart"/>
      <w:r w:rsidRPr="00A138E8">
        <w:rPr>
          <w:rFonts w:ascii="Times New Roman" w:eastAsia="Times New Roman" w:hAnsi="Times New Roman" w:cs="Times New Roman"/>
          <w:lang w:eastAsia="fr-FR"/>
        </w:rPr>
        <w:t>Lett</w:t>
      </w:r>
      <w:proofErr w:type="spellEnd"/>
      <w:r w:rsidRPr="00A138E8">
        <w:rPr>
          <w:rFonts w:ascii="Times New Roman" w:eastAsia="Times New Roman" w:hAnsi="Times New Roman" w:cs="Times New Roman"/>
          <w:lang w:eastAsia="fr-FR"/>
        </w:rPr>
        <w:t xml:space="preserve">. </w:t>
      </w:r>
      <w:proofErr w:type="spellStart"/>
      <w:r w:rsidRPr="00A138E8">
        <w:rPr>
          <w:rFonts w:ascii="Times New Roman" w:eastAsia="Times New Roman" w:hAnsi="Times New Roman" w:cs="Times New Roman"/>
          <w:lang w:eastAsia="fr-FR"/>
        </w:rPr>
        <w:t>Enc</w:t>
      </w:r>
      <w:proofErr w:type="spellEnd"/>
      <w:r>
        <w:rPr>
          <w:rFonts w:ascii="Times New Roman" w:eastAsia="Times New Roman" w:hAnsi="Times New Roman" w:cs="Times New Roman"/>
          <w:lang w:eastAsia="fr-FR"/>
        </w:rPr>
        <w:t xml:space="preserve">. </w:t>
      </w:r>
      <w:hyperlink r:id="rId1" w:history="1">
        <w:r w:rsidRPr="00A138E8">
          <w:rPr>
            <w:rFonts w:ascii="Times New Roman" w:eastAsia="Times New Roman" w:hAnsi="Times New Roman" w:cs="Times New Roman"/>
            <w:i/>
            <w:iCs/>
            <w:u w:val="single"/>
            <w:lang w:eastAsia="fr-FR"/>
          </w:rPr>
          <w:t xml:space="preserve">Caritas in </w:t>
        </w:r>
        <w:proofErr w:type="spellStart"/>
        <w:r w:rsidRPr="00A138E8">
          <w:rPr>
            <w:rFonts w:ascii="Times New Roman" w:eastAsia="Times New Roman" w:hAnsi="Times New Roman" w:cs="Times New Roman"/>
            <w:i/>
            <w:iCs/>
            <w:u w:val="single"/>
            <w:lang w:eastAsia="fr-FR"/>
          </w:rPr>
          <w:t>veritate</w:t>
        </w:r>
        <w:proofErr w:type="spellEnd"/>
      </w:hyperlink>
      <w:r w:rsidRPr="00A138E8">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 xml:space="preserve">(29 juin 2009),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67</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101 (2009), 700.</w:t>
      </w:r>
    </w:p>
  </w:footnote>
  <w:footnote w:id="5">
    <w:p w14:paraId="39D1D538" w14:textId="77777777" w:rsidR="00BB7338" w:rsidRPr="00A138E8" w:rsidRDefault="00BB7338" w:rsidP="00BB7338">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proofErr w:type="spellStart"/>
      <w:r w:rsidRPr="00A138E8">
        <w:rPr>
          <w:rFonts w:ascii="Times New Roman" w:eastAsia="Times New Roman" w:hAnsi="Times New Roman" w:cs="Times New Roman"/>
          <w:lang w:eastAsia="fr-FR"/>
        </w:rPr>
        <w:t>Exhort</w:t>
      </w:r>
      <w:proofErr w:type="spellEnd"/>
      <w:r w:rsidRPr="00A138E8">
        <w:rPr>
          <w:rFonts w:ascii="Times New Roman" w:eastAsia="Times New Roman" w:hAnsi="Times New Roman" w:cs="Times New Roman"/>
          <w:lang w:eastAsia="fr-FR"/>
        </w:rPr>
        <w:t xml:space="preserve">. </w:t>
      </w:r>
      <w:proofErr w:type="spellStart"/>
      <w:r w:rsidRPr="00A138E8">
        <w:rPr>
          <w:rFonts w:ascii="Times New Roman" w:eastAsia="Times New Roman" w:hAnsi="Times New Roman" w:cs="Times New Roman"/>
          <w:lang w:eastAsia="fr-FR"/>
        </w:rPr>
        <w:t>apost</w:t>
      </w:r>
      <w:proofErr w:type="spellEnd"/>
      <w:r>
        <w:rPr>
          <w:rFonts w:ascii="Times New Roman" w:eastAsia="Times New Roman" w:hAnsi="Times New Roman" w:cs="Times New Roman"/>
          <w:lang w:eastAsia="fr-FR"/>
        </w:rPr>
        <w:t xml:space="preserve">. </w:t>
      </w:r>
      <w:hyperlink r:id="rId2" w:anchor="Le_temps_est_supérieur_à_l’espace" w:history="1">
        <w:proofErr w:type="spellStart"/>
        <w:r w:rsidRPr="00A138E8">
          <w:rPr>
            <w:rFonts w:ascii="Times New Roman" w:eastAsia="Times New Roman" w:hAnsi="Times New Roman" w:cs="Times New Roman"/>
            <w:i/>
            <w:iCs/>
            <w:u w:val="single"/>
            <w:lang w:eastAsia="fr-FR"/>
          </w:rPr>
          <w:t>Evangelii</w:t>
        </w:r>
        <w:proofErr w:type="spellEnd"/>
        <w:r w:rsidRPr="00A138E8">
          <w:rPr>
            <w:rFonts w:ascii="Times New Roman" w:eastAsia="Times New Roman" w:hAnsi="Times New Roman" w:cs="Times New Roman"/>
            <w:i/>
            <w:iCs/>
            <w:u w:val="single"/>
            <w:lang w:eastAsia="fr-FR"/>
          </w:rPr>
          <w:t xml:space="preserve"> </w:t>
        </w:r>
        <w:proofErr w:type="spellStart"/>
        <w:r w:rsidRPr="00A138E8">
          <w:rPr>
            <w:rFonts w:ascii="Times New Roman" w:eastAsia="Times New Roman" w:hAnsi="Times New Roman" w:cs="Times New Roman"/>
            <w:i/>
            <w:iCs/>
            <w:u w:val="single"/>
            <w:lang w:eastAsia="fr-FR"/>
          </w:rPr>
          <w:t>gaudium</w:t>
        </w:r>
        <w:proofErr w:type="spellEnd"/>
        <w:r w:rsidRPr="00A138E8">
          <w:rPr>
            <w:rFonts w:ascii="Times New Roman" w:eastAsia="Times New Roman" w:hAnsi="Times New Roman" w:cs="Times New Roman"/>
            <w:i/>
            <w:iCs/>
            <w:u w:val="single"/>
            <w:lang w:eastAsia="fr-FR"/>
          </w:rPr>
          <w:t> </w:t>
        </w:r>
        <w:r w:rsidRPr="00A138E8">
          <w:rPr>
            <w:rFonts w:ascii="Times New Roman" w:eastAsia="Times New Roman" w:hAnsi="Times New Roman" w:cs="Times New Roman"/>
            <w:u w:val="single"/>
            <w:lang w:eastAsia="fr-FR"/>
          </w:rPr>
          <w:t xml:space="preserve">(24 novembre 2013), </w:t>
        </w:r>
        <w:r>
          <w:rPr>
            <w:rFonts w:ascii="Times New Roman" w:eastAsia="Times New Roman" w:hAnsi="Times New Roman" w:cs="Times New Roman"/>
            <w:u w:val="single"/>
            <w:lang w:eastAsia="fr-FR"/>
          </w:rPr>
          <w:t>n° </w:t>
        </w:r>
        <w:r w:rsidRPr="00A138E8">
          <w:rPr>
            <w:rFonts w:ascii="Times New Roman" w:eastAsia="Times New Roman" w:hAnsi="Times New Roman" w:cs="Times New Roman"/>
            <w:u w:val="single"/>
            <w:lang w:eastAsia="fr-FR"/>
          </w:rPr>
          <w:t>222</w:t>
        </w:r>
      </w:hyperlink>
      <w:r>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 AAS</w:t>
      </w:r>
      <w:r w:rsidRPr="00A138E8">
        <w:rPr>
          <w:rFonts w:ascii="Times New Roman" w:eastAsia="Times New Roman" w:hAnsi="Times New Roman" w:cs="Times New Roman"/>
          <w:lang w:eastAsia="fr-FR"/>
        </w:rPr>
        <w:t> 105 (2013), 1111.</w:t>
      </w:r>
    </w:p>
  </w:footnote>
  <w:footnote w:id="6">
    <w:p w14:paraId="39D1D539" w14:textId="77777777" w:rsidR="00BB7338" w:rsidRPr="00A138E8" w:rsidRDefault="00BB7338" w:rsidP="00BB7338">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 xml:space="preserve">Conseil pontifical </w:t>
      </w:r>
      <w:r>
        <w:rPr>
          <w:rFonts w:ascii="Times New Roman" w:eastAsia="Times New Roman" w:hAnsi="Times New Roman" w:cs="Times New Roman"/>
          <w:lang w:eastAsia="fr-FR"/>
        </w:rPr>
        <w:t>« Justice</w:t>
      </w:r>
      <w:r w:rsidRPr="00A138E8">
        <w:rPr>
          <w:rFonts w:ascii="Times New Roman" w:eastAsia="Times New Roman" w:hAnsi="Times New Roman" w:cs="Times New Roman"/>
          <w:lang w:eastAsia="fr-FR"/>
        </w:rPr>
        <w:t xml:space="preserve"> et Paix</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hyperlink r:id="rId3" w:history="1">
        <w:r w:rsidRPr="00A138E8">
          <w:rPr>
            <w:rFonts w:ascii="Times New Roman" w:eastAsia="Times New Roman" w:hAnsi="Times New Roman" w:cs="Times New Roman"/>
            <w:i/>
            <w:iCs/>
            <w:u w:val="single"/>
            <w:lang w:eastAsia="fr-FR"/>
          </w:rPr>
          <w:t xml:space="preserve">Compendium de la Doctrine </w:t>
        </w:r>
        <w:r>
          <w:rPr>
            <w:rFonts w:ascii="Times New Roman" w:eastAsia="Times New Roman" w:hAnsi="Times New Roman" w:cs="Times New Roman"/>
            <w:i/>
            <w:iCs/>
            <w:u w:val="single"/>
            <w:lang w:eastAsia="fr-FR"/>
          </w:rPr>
          <w:t>Social</w:t>
        </w:r>
        <w:r w:rsidRPr="00A138E8">
          <w:rPr>
            <w:rFonts w:ascii="Times New Roman" w:eastAsia="Times New Roman" w:hAnsi="Times New Roman" w:cs="Times New Roman"/>
            <w:i/>
            <w:iCs/>
            <w:u w:val="single"/>
            <w:lang w:eastAsia="fr-FR"/>
          </w:rPr>
          <w:t>e de l’Eglise</w:t>
        </w:r>
      </w:hyperlink>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469.</w:t>
      </w:r>
    </w:p>
  </w:footnote>
  <w:footnote w:id="7">
    <w:p w14:paraId="39D1D53A" w14:textId="77777777" w:rsidR="00BB7338" w:rsidRPr="00A138E8" w:rsidRDefault="00BB7338" w:rsidP="00BB7338">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i/>
          <w:iCs/>
          <w:lang w:eastAsia="fr-FR"/>
        </w:rPr>
        <w:t>Déclaration de Rio sur l’</w:t>
      </w:r>
      <w:r>
        <w:rPr>
          <w:rFonts w:ascii="Times New Roman" w:eastAsia="Times New Roman" w:hAnsi="Times New Roman" w:cs="Times New Roman"/>
          <w:i/>
          <w:iCs/>
          <w:lang w:eastAsia="fr-FR"/>
        </w:rPr>
        <w:t>environnement et le dé</w:t>
      </w:r>
      <w:r w:rsidRPr="00A138E8">
        <w:rPr>
          <w:rFonts w:ascii="Times New Roman" w:eastAsia="Times New Roman" w:hAnsi="Times New Roman" w:cs="Times New Roman"/>
          <w:i/>
          <w:iCs/>
          <w:lang w:eastAsia="fr-FR"/>
        </w:rPr>
        <w:t>veloppement </w:t>
      </w:r>
      <w:r w:rsidRPr="00A138E8">
        <w:rPr>
          <w:rFonts w:ascii="Times New Roman" w:eastAsia="Times New Roman" w:hAnsi="Times New Roman" w:cs="Times New Roman"/>
          <w:lang w:eastAsia="fr-FR"/>
        </w:rPr>
        <w:t>(14 juin 1992), Principe 15.</w:t>
      </w:r>
    </w:p>
  </w:footnote>
  <w:footnote w:id="8">
    <w:p w14:paraId="39D1D53B" w14:textId="77777777" w:rsidR="00BB7338" w:rsidRPr="00A138E8" w:rsidRDefault="00BB7338" w:rsidP="00BB7338">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Cf. Conférence de l'Épiscopat mexicain</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Commission de la Pastorale </w:t>
      </w:r>
      <w:r>
        <w:rPr>
          <w:rFonts w:ascii="Times New Roman" w:eastAsia="Times New Roman" w:hAnsi="Times New Roman" w:cs="Times New Roman"/>
          <w:lang w:eastAsia="fr-FR"/>
        </w:rPr>
        <w:t>social</w:t>
      </w:r>
      <w:r w:rsidRPr="00A138E8">
        <w:rPr>
          <w:rFonts w:ascii="Times New Roman" w:eastAsia="Times New Roman" w:hAnsi="Times New Roman" w:cs="Times New Roman"/>
          <w:lang w:eastAsia="fr-FR"/>
        </w:rPr>
        <w:t>e, </w:t>
      </w:r>
      <w:proofErr w:type="spellStart"/>
      <w:r w:rsidRPr="00A138E8">
        <w:rPr>
          <w:rFonts w:ascii="Times New Roman" w:eastAsia="Times New Roman" w:hAnsi="Times New Roman" w:cs="Times New Roman"/>
          <w:i/>
          <w:iCs/>
          <w:lang w:eastAsia="fr-FR"/>
        </w:rPr>
        <w:t>Jesucristo</w:t>
      </w:r>
      <w:proofErr w:type="spellEnd"/>
      <w:r w:rsidRPr="00A138E8">
        <w:rPr>
          <w:rFonts w:ascii="Times New Roman" w:eastAsia="Times New Roman" w:hAnsi="Times New Roman" w:cs="Times New Roman"/>
          <w:i/>
          <w:iCs/>
          <w:lang w:eastAsia="fr-FR"/>
        </w:rPr>
        <w:t xml:space="preserve">, vida y </w:t>
      </w:r>
      <w:proofErr w:type="spellStart"/>
      <w:r w:rsidRPr="00A138E8">
        <w:rPr>
          <w:rFonts w:ascii="Times New Roman" w:eastAsia="Times New Roman" w:hAnsi="Times New Roman" w:cs="Times New Roman"/>
          <w:i/>
          <w:iCs/>
          <w:lang w:eastAsia="fr-FR"/>
        </w:rPr>
        <w:t>esperanza</w:t>
      </w:r>
      <w:proofErr w:type="spellEnd"/>
      <w:r w:rsidRPr="00A138E8">
        <w:rPr>
          <w:rFonts w:ascii="Times New Roman" w:eastAsia="Times New Roman" w:hAnsi="Times New Roman" w:cs="Times New Roman"/>
          <w:i/>
          <w:iCs/>
          <w:lang w:eastAsia="fr-FR"/>
        </w:rPr>
        <w:t xml:space="preserve"> de los </w:t>
      </w:r>
      <w:proofErr w:type="spellStart"/>
      <w:r w:rsidRPr="00A138E8">
        <w:rPr>
          <w:rFonts w:ascii="Times New Roman" w:eastAsia="Times New Roman" w:hAnsi="Times New Roman" w:cs="Times New Roman"/>
          <w:i/>
          <w:iCs/>
          <w:lang w:eastAsia="fr-FR"/>
        </w:rPr>
        <w:t>indígenas</w:t>
      </w:r>
      <w:proofErr w:type="spellEnd"/>
      <w:r w:rsidRPr="00A138E8">
        <w:rPr>
          <w:rFonts w:ascii="Times New Roman" w:eastAsia="Times New Roman" w:hAnsi="Times New Roman" w:cs="Times New Roman"/>
          <w:i/>
          <w:iCs/>
          <w:lang w:eastAsia="fr-FR"/>
        </w:rPr>
        <w:t xml:space="preserve"> y </w:t>
      </w:r>
      <w:proofErr w:type="spellStart"/>
      <w:r w:rsidRPr="00A138E8">
        <w:rPr>
          <w:rFonts w:ascii="Times New Roman" w:eastAsia="Times New Roman" w:hAnsi="Times New Roman" w:cs="Times New Roman"/>
          <w:i/>
          <w:iCs/>
          <w:lang w:eastAsia="fr-FR"/>
        </w:rPr>
        <w:t>campesinos</w:t>
      </w:r>
      <w:proofErr w:type="spellEnd"/>
      <w:r w:rsidRPr="00A138E8">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(14 janvier 2008).</w:t>
      </w:r>
    </w:p>
  </w:footnote>
  <w:footnote w:id="9">
    <w:p w14:paraId="39D1D53C" w14:textId="77777777" w:rsidR="00BB7338" w:rsidRPr="00A138E8" w:rsidRDefault="00BB7338" w:rsidP="00BB7338">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 xml:space="preserve">Conseil pontifical </w:t>
      </w:r>
      <w:r>
        <w:rPr>
          <w:rFonts w:ascii="Times New Roman" w:eastAsia="Times New Roman" w:hAnsi="Times New Roman" w:cs="Times New Roman"/>
          <w:lang w:eastAsia="fr-FR"/>
        </w:rPr>
        <w:t>« Justice</w:t>
      </w:r>
      <w:r w:rsidRPr="00A138E8">
        <w:rPr>
          <w:rFonts w:ascii="Times New Roman" w:eastAsia="Times New Roman" w:hAnsi="Times New Roman" w:cs="Times New Roman"/>
          <w:lang w:eastAsia="fr-FR"/>
        </w:rPr>
        <w:t xml:space="preserve"> et Paix</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hyperlink r:id="rId4" w:history="1">
        <w:r w:rsidRPr="00A138E8">
          <w:rPr>
            <w:rFonts w:ascii="Times New Roman" w:eastAsia="Times New Roman" w:hAnsi="Times New Roman" w:cs="Times New Roman"/>
            <w:i/>
            <w:iCs/>
            <w:u w:val="single"/>
            <w:lang w:eastAsia="fr-FR"/>
          </w:rPr>
          <w:t xml:space="preserve">Compendium de la Doctrine </w:t>
        </w:r>
        <w:r>
          <w:rPr>
            <w:rFonts w:ascii="Times New Roman" w:eastAsia="Times New Roman" w:hAnsi="Times New Roman" w:cs="Times New Roman"/>
            <w:i/>
            <w:iCs/>
            <w:u w:val="single"/>
            <w:lang w:eastAsia="fr-FR"/>
          </w:rPr>
          <w:t>Social</w:t>
        </w:r>
        <w:r w:rsidRPr="00A138E8">
          <w:rPr>
            <w:rFonts w:ascii="Times New Roman" w:eastAsia="Times New Roman" w:hAnsi="Times New Roman" w:cs="Times New Roman"/>
            <w:i/>
            <w:iCs/>
            <w:u w:val="single"/>
            <w:lang w:eastAsia="fr-FR"/>
          </w:rPr>
          <w:t>e de l’Eglise</w:t>
        </w:r>
      </w:hyperlink>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470.</w:t>
      </w:r>
    </w:p>
  </w:footnote>
  <w:footnote w:id="10">
    <w:p w14:paraId="39D1D53D" w14:textId="77777777" w:rsidR="00BB7338" w:rsidRPr="00A138E8" w:rsidRDefault="00BB7338" w:rsidP="00BB7338">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hyperlink r:id="rId5" w:history="1">
        <w:r w:rsidRPr="00A138E8">
          <w:rPr>
            <w:rFonts w:ascii="Times New Roman" w:eastAsia="Times New Roman" w:hAnsi="Times New Roman" w:cs="Times New Roman"/>
            <w:i/>
            <w:iCs/>
            <w:u w:val="single"/>
            <w:lang w:eastAsia="fr-FR"/>
          </w:rPr>
          <w:t>Message pour la Journée Mondiale de la Paix 2010</w:t>
        </w:r>
      </w:hyperlink>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9</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102 (2010), 46.</w:t>
      </w:r>
    </w:p>
  </w:footnote>
  <w:footnote w:id="11">
    <w:p w14:paraId="39D1D53E" w14:textId="77777777" w:rsidR="00BB7338" w:rsidRPr="00465F06" w:rsidRDefault="00BB7338" w:rsidP="00BB7338">
      <w:pPr>
        <w:pStyle w:val="Notedebasdepage"/>
        <w:jc w:val="both"/>
        <w:rPr>
          <w:rFonts w:ascii="Times New Roman" w:hAnsi="Times New Roman" w:cs="Times New Roman"/>
          <w:lang w:val="en-US"/>
        </w:rPr>
      </w:pPr>
      <w:r w:rsidRPr="00A138E8">
        <w:rPr>
          <w:rStyle w:val="Appelnotedebasdep"/>
          <w:rFonts w:ascii="Times New Roman" w:hAnsi="Times New Roman" w:cs="Times New Roman"/>
        </w:rPr>
        <w:footnoteRef/>
      </w:r>
      <w:r w:rsidRPr="00465F06">
        <w:rPr>
          <w:rFonts w:ascii="Times New Roman" w:hAnsi="Times New Roman" w:cs="Times New Roman"/>
          <w:lang w:val="en-US"/>
        </w:rPr>
        <w:t xml:space="preserve"> </w:t>
      </w:r>
      <w:r w:rsidRPr="00465F06">
        <w:rPr>
          <w:rFonts w:ascii="Times New Roman" w:eastAsia="Times New Roman" w:hAnsi="Times New Roman" w:cs="Times New Roman"/>
          <w:i/>
          <w:iCs/>
          <w:lang w:val="en-US" w:eastAsia="fr-FR"/>
        </w:rPr>
        <w:t>Ibid.</w:t>
      </w:r>
    </w:p>
  </w:footnote>
  <w:footnote w:id="12">
    <w:p w14:paraId="39D1D53F" w14:textId="77777777" w:rsidR="00BB7338" w:rsidRPr="00465F06" w:rsidRDefault="00BB7338" w:rsidP="00BB7338">
      <w:pPr>
        <w:pStyle w:val="Notedebasdepage"/>
        <w:jc w:val="both"/>
        <w:rPr>
          <w:rFonts w:ascii="Times New Roman" w:hAnsi="Times New Roman" w:cs="Times New Roman"/>
          <w:lang w:val="en-US"/>
        </w:rPr>
      </w:pPr>
      <w:r w:rsidRPr="00A138E8">
        <w:rPr>
          <w:rStyle w:val="Appelnotedebasdep"/>
          <w:rFonts w:ascii="Times New Roman" w:hAnsi="Times New Roman" w:cs="Times New Roman"/>
        </w:rPr>
        <w:footnoteRef/>
      </w:r>
      <w:r w:rsidRPr="00465F06">
        <w:rPr>
          <w:rFonts w:ascii="Times New Roman" w:hAnsi="Times New Roman" w:cs="Times New Roman"/>
          <w:lang w:val="en-US"/>
        </w:rPr>
        <w:t xml:space="preserve"> </w:t>
      </w:r>
      <w:r w:rsidRPr="00465F06">
        <w:rPr>
          <w:rFonts w:ascii="Times New Roman" w:eastAsia="Times New Roman" w:hAnsi="Times New Roman" w:cs="Times New Roman"/>
          <w:i/>
          <w:iCs/>
          <w:lang w:val="en-US" w:eastAsia="fr-FR"/>
        </w:rPr>
        <w:t>Ibid.</w:t>
      </w:r>
      <w:r w:rsidRPr="00465F06">
        <w:rPr>
          <w:rFonts w:ascii="Times New Roman" w:eastAsia="Times New Roman" w:hAnsi="Times New Roman" w:cs="Times New Roman"/>
          <w:lang w:val="en-US" w:eastAsia="fr-FR"/>
        </w:rPr>
        <w:t xml:space="preserve">, </w:t>
      </w:r>
      <w:r>
        <w:rPr>
          <w:rFonts w:ascii="Times New Roman" w:eastAsia="Times New Roman" w:hAnsi="Times New Roman" w:cs="Times New Roman"/>
          <w:lang w:val="en-US" w:eastAsia="fr-FR"/>
        </w:rPr>
        <w:t>n° </w:t>
      </w:r>
      <w:r w:rsidRPr="00465F06">
        <w:rPr>
          <w:rFonts w:ascii="Times New Roman" w:eastAsia="Times New Roman" w:hAnsi="Times New Roman" w:cs="Times New Roman"/>
          <w:lang w:val="en-US" w:eastAsia="fr-FR"/>
        </w:rPr>
        <w:t>5 : p. 43.</w:t>
      </w:r>
    </w:p>
  </w:footnote>
  <w:footnote w:id="13">
    <w:p w14:paraId="39D1D540" w14:textId="77777777" w:rsidR="00BB7338" w:rsidRPr="00A138E8" w:rsidRDefault="00BB7338" w:rsidP="00BB7338">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465F06">
        <w:rPr>
          <w:rFonts w:ascii="Times New Roman" w:hAnsi="Times New Roman" w:cs="Times New Roman"/>
          <w:lang w:val="en-US"/>
        </w:rPr>
        <w:t xml:space="preserve"> </w:t>
      </w:r>
      <w:proofErr w:type="spellStart"/>
      <w:r>
        <w:rPr>
          <w:rFonts w:ascii="Times New Roman" w:eastAsia="Times New Roman" w:hAnsi="Times New Roman" w:cs="Times New Roman"/>
          <w:lang w:val="en-US" w:eastAsia="fr-FR"/>
        </w:rPr>
        <w:t>Benoît</w:t>
      </w:r>
      <w:proofErr w:type="spellEnd"/>
      <w:r>
        <w:rPr>
          <w:rFonts w:ascii="Times New Roman" w:eastAsia="Times New Roman" w:hAnsi="Times New Roman" w:cs="Times New Roman"/>
          <w:lang w:val="en-US" w:eastAsia="fr-FR"/>
        </w:rPr>
        <w:t> XVI</w:t>
      </w:r>
      <w:r w:rsidRPr="00465F06">
        <w:rPr>
          <w:rFonts w:ascii="Times New Roman" w:eastAsia="Times New Roman" w:hAnsi="Times New Roman" w:cs="Times New Roman"/>
          <w:lang w:val="en-US" w:eastAsia="fr-FR"/>
        </w:rPr>
        <w:t>, Lett. enc</w:t>
      </w:r>
      <w:r>
        <w:rPr>
          <w:rFonts w:ascii="Times New Roman" w:eastAsia="Times New Roman" w:hAnsi="Times New Roman" w:cs="Times New Roman"/>
          <w:lang w:val="en-US" w:eastAsia="fr-FR"/>
        </w:rPr>
        <w:t xml:space="preserve">. </w:t>
      </w:r>
      <w:hyperlink r:id="rId6" w:history="1">
        <w:r w:rsidRPr="00A138E8">
          <w:rPr>
            <w:rFonts w:ascii="Times New Roman" w:eastAsia="Times New Roman" w:hAnsi="Times New Roman" w:cs="Times New Roman"/>
            <w:i/>
            <w:iCs/>
            <w:u w:val="single"/>
            <w:lang w:eastAsia="fr-FR"/>
          </w:rPr>
          <w:t xml:space="preserve">Caritas in </w:t>
        </w:r>
        <w:proofErr w:type="spellStart"/>
        <w:r w:rsidRPr="00A138E8">
          <w:rPr>
            <w:rFonts w:ascii="Times New Roman" w:eastAsia="Times New Roman" w:hAnsi="Times New Roman" w:cs="Times New Roman"/>
            <w:i/>
            <w:iCs/>
            <w:u w:val="single"/>
            <w:lang w:eastAsia="fr-FR"/>
          </w:rPr>
          <w:t>veritate</w:t>
        </w:r>
        <w:proofErr w:type="spellEnd"/>
      </w:hyperlink>
      <w:r w:rsidRPr="00A138E8">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 xml:space="preserve">(29 juin 2009),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50</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101 (2009), 686.</w:t>
      </w:r>
    </w:p>
  </w:footnote>
  <w:footnote w:id="14">
    <w:p w14:paraId="39D1D541" w14:textId="77777777" w:rsidR="00BB7338" w:rsidRPr="00A138E8" w:rsidRDefault="00BB7338" w:rsidP="00BB7338">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proofErr w:type="spellStart"/>
      <w:r w:rsidRPr="00A138E8">
        <w:rPr>
          <w:rFonts w:ascii="Times New Roman" w:eastAsia="Times New Roman" w:hAnsi="Times New Roman" w:cs="Times New Roman"/>
          <w:lang w:eastAsia="fr-FR"/>
        </w:rPr>
        <w:t>Exhort</w:t>
      </w:r>
      <w:proofErr w:type="spellEnd"/>
      <w:r w:rsidRPr="00A138E8">
        <w:rPr>
          <w:rFonts w:ascii="Times New Roman" w:eastAsia="Times New Roman" w:hAnsi="Times New Roman" w:cs="Times New Roman"/>
          <w:lang w:eastAsia="fr-FR"/>
        </w:rPr>
        <w:t xml:space="preserve">. </w:t>
      </w:r>
      <w:proofErr w:type="spellStart"/>
      <w:r w:rsidRPr="00A138E8">
        <w:rPr>
          <w:rFonts w:ascii="Times New Roman" w:eastAsia="Times New Roman" w:hAnsi="Times New Roman" w:cs="Times New Roman"/>
          <w:lang w:eastAsia="fr-FR"/>
        </w:rPr>
        <w:t>apost</w:t>
      </w:r>
      <w:proofErr w:type="spellEnd"/>
      <w:r>
        <w:rPr>
          <w:rFonts w:ascii="Times New Roman" w:eastAsia="Times New Roman" w:hAnsi="Times New Roman" w:cs="Times New Roman"/>
          <w:lang w:eastAsia="fr-FR"/>
        </w:rPr>
        <w:t xml:space="preserve">. </w:t>
      </w:r>
      <w:hyperlink r:id="rId7" w:anchor="Avoir_soin_de_la_fragilité" w:history="1">
        <w:proofErr w:type="spellStart"/>
        <w:r w:rsidRPr="00A138E8">
          <w:rPr>
            <w:rFonts w:ascii="Times New Roman" w:eastAsia="Times New Roman" w:hAnsi="Times New Roman" w:cs="Times New Roman"/>
            <w:i/>
            <w:iCs/>
            <w:u w:val="single"/>
            <w:lang w:eastAsia="fr-FR"/>
          </w:rPr>
          <w:t>Evangelii</w:t>
        </w:r>
        <w:proofErr w:type="spellEnd"/>
        <w:r w:rsidRPr="00A138E8">
          <w:rPr>
            <w:rFonts w:ascii="Times New Roman" w:eastAsia="Times New Roman" w:hAnsi="Times New Roman" w:cs="Times New Roman"/>
            <w:i/>
            <w:iCs/>
            <w:u w:val="single"/>
            <w:lang w:eastAsia="fr-FR"/>
          </w:rPr>
          <w:t xml:space="preserve"> </w:t>
        </w:r>
        <w:proofErr w:type="spellStart"/>
        <w:r w:rsidRPr="00A138E8">
          <w:rPr>
            <w:rFonts w:ascii="Times New Roman" w:eastAsia="Times New Roman" w:hAnsi="Times New Roman" w:cs="Times New Roman"/>
            <w:i/>
            <w:iCs/>
            <w:u w:val="single"/>
            <w:lang w:eastAsia="fr-FR"/>
          </w:rPr>
          <w:t>gaudium</w:t>
        </w:r>
        <w:proofErr w:type="spellEnd"/>
        <w:r w:rsidRPr="00A138E8">
          <w:rPr>
            <w:rFonts w:ascii="Times New Roman" w:eastAsia="Times New Roman" w:hAnsi="Times New Roman" w:cs="Times New Roman"/>
            <w:i/>
            <w:iCs/>
            <w:u w:val="single"/>
            <w:lang w:eastAsia="fr-FR"/>
          </w:rPr>
          <w:t> </w:t>
        </w:r>
        <w:r w:rsidRPr="00A138E8">
          <w:rPr>
            <w:rFonts w:ascii="Times New Roman" w:eastAsia="Times New Roman" w:hAnsi="Times New Roman" w:cs="Times New Roman"/>
            <w:u w:val="single"/>
            <w:lang w:eastAsia="fr-FR"/>
          </w:rPr>
          <w:t xml:space="preserve">(24 novembre 2013), </w:t>
        </w:r>
        <w:r>
          <w:rPr>
            <w:rFonts w:ascii="Times New Roman" w:eastAsia="Times New Roman" w:hAnsi="Times New Roman" w:cs="Times New Roman"/>
            <w:u w:val="single"/>
            <w:lang w:eastAsia="fr-FR"/>
          </w:rPr>
          <w:t>n° </w:t>
        </w:r>
        <w:r w:rsidRPr="00A138E8">
          <w:rPr>
            <w:rFonts w:ascii="Times New Roman" w:eastAsia="Times New Roman" w:hAnsi="Times New Roman" w:cs="Times New Roman"/>
            <w:u w:val="single"/>
            <w:lang w:eastAsia="fr-FR"/>
          </w:rPr>
          <w:t>209</w:t>
        </w:r>
      </w:hyperlink>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105 (2013), 1107.</w:t>
      </w:r>
    </w:p>
  </w:footnote>
  <w:footnote w:id="15">
    <w:p w14:paraId="39D1D542" w14:textId="77777777" w:rsidR="00BB7338" w:rsidRPr="00A138E8" w:rsidRDefault="00BB7338" w:rsidP="00BB7338">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Ibid.</w:t>
      </w:r>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228</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p. 1113.</w:t>
      </w:r>
    </w:p>
  </w:footnote>
  <w:footnote w:id="16">
    <w:p w14:paraId="39D1D543" w14:textId="77777777" w:rsidR="00BB7338" w:rsidRPr="00A138E8" w:rsidRDefault="00BB7338" w:rsidP="00BB7338">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 xml:space="preserve">Cf. </w:t>
      </w:r>
      <w:proofErr w:type="spellStart"/>
      <w:r w:rsidRPr="00A138E8">
        <w:rPr>
          <w:rFonts w:ascii="Times New Roman" w:eastAsia="Times New Roman" w:hAnsi="Times New Roman" w:cs="Times New Roman"/>
          <w:lang w:eastAsia="fr-FR"/>
        </w:rPr>
        <w:t>Lett</w:t>
      </w:r>
      <w:proofErr w:type="spellEnd"/>
      <w:r w:rsidRPr="00A138E8">
        <w:rPr>
          <w:rFonts w:ascii="Times New Roman" w:eastAsia="Times New Roman" w:hAnsi="Times New Roman" w:cs="Times New Roman"/>
          <w:lang w:eastAsia="fr-FR"/>
        </w:rPr>
        <w:t xml:space="preserve">. </w:t>
      </w:r>
      <w:proofErr w:type="spellStart"/>
      <w:r w:rsidRPr="00A138E8">
        <w:rPr>
          <w:rFonts w:ascii="Times New Roman" w:eastAsia="Times New Roman" w:hAnsi="Times New Roman" w:cs="Times New Roman"/>
          <w:lang w:eastAsia="fr-FR"/>
        </w:rPr>
        <w:t>enc</w:t>
      </w:r>
      <w:proofErr w:type="spellEnd"/>
      <w:r>
        <w:rPr>
          <w:rFonts w:ascii="Times New Roman" w:eastAsia="Times New Roman" w:hAnsi="Times New Roman" w:cs="Times New Roman"/>
          <w:lang w:eastAsia="fr-FR"/>
        </w:rPr>
        <w:t xml:space="preserve">. </w:t>
      </w:r>
      <w:hyperlink r:id="rId8" w:history="1">
        <w:r w:rsidRPr="00A138E8">
          <w:rPr>
            <w:rFonts w:ascii="Times New Roman" w:eastAsia="Times New Roman" w:hAnsi="Times New Roman" w:cs="Times New Roman"/>
            <w:i/>
            <w:iCs/>
            <w:u w:val="single"/>
            <w:lang w:eastAsia="fr-FR"/>
          </w:rPr>
          <w:t xml:space="preserve">Lumen </w:t>
        </w:r>
        <w:proofErr w:type="spellStart"/>
        <w:r w:rsidRPr="00A138E8">
          <w:rPr>
            <w:rFonts w:ascii="Times New Roman" w:eastAsia="Times New Roman" w:hAnsi="Times New Roman" w:cs="Times New Roman"/>
            <w:i/>
            <w:iCs/>
            <w:u w:val="single"/>
            <w:lang w:eastAsia="fr-FR"/>
          </w:rPr>
          <w:t>fidei</w:t>
        </w:r>
        <w:proofErr w:type="spellEnd"/>
      </w:hyperlink>
      <w:r w:rsidRPr="00A138E8">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 xml:space="preserve">(29 juin 2013),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34</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105 (2013), 577</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La lumière de la foi, dans la mesure où elle est unie à la vérité de l’</w:t>
      </w:r>
      <w:r>
        <w:rPr>
          <w:rFonts w:ascii="Times New Roman" w:eastAsia="Times New Roman" w:hAnsi="Times New Roman" w:cs="Times New Roman"/>
          <w:lang w:eastAsia="fr-FR"/>
        </w:rPr>
        <w:t>amour</w:t>
      </w:r>
      <w:r w:rsidRPr="00A138E8">
        <w:rPr>
          <w:rFonts w:ascii="Times New Roman" w:eastAsia="Times New Roman" w:hAnsi="Times New Roman" w:cs="Times New Roman"/>
          <w:lang w:eastAsia="fr-FR"/>
        </w:rPr>
        <w:t>, n’est pas étrangère au monde matériel, car l’</w:t>
      </w:r>
      <w:r>
        <w:rPr>
          <w:rFonts w:ascii="Times New Roman" w:eastAsia="Times New Roman" w:hAnsi="Times New Roman" w:cs="Times New Roman"/>
          <w:lang w:eastAsia="fr-FR"/>
        </w:rPr>
        <w:t>amour</w:t>
      </w:r>
      <w:r w:rsidRPr="00A138E8">
        <w:rPr>
          <w:rFonts w:ascii="Times New Roman" w:eastAsia="Times New Roman" w:hAnsi="Times New Roman" w:cs="Times New Roman"/>
          <w:lang w:eastAsia="fr-FR"/>
        </w:rPr>
        <w:t xml:space="preserve"> se vit toujours corps et âme</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la lumière de la foi est une lumière incarnée, qui procède de la vie lumineuse de </w:t>
      </w:r>
      <w:r>
        <w:rPr>
          <w:rFonts w:ascii="Times New Roman" w:eastAsia="Times New Roman" w:hAnsi="Times New Roman" w:cs="Times New Roman"/>
          <w:lang w:eastAsia="fr-FR"/>
        </w:rPr>
        <w:t>Jésus</w:t>
      </w:r>
      <w:r w:rsidRPr="00A138E8">
        <w:rPr>
          <w:rFonts w:ascii="Times New Roman" w:eastAsia="Times New Roman" w:hAnsi="Times New Roman" w:cs="Times New Roman"/>
          <w:lang w:eastAsia="fr-FR"/>
        </w:rPr>
        <w:t>. Elle éclaire aussi la matière, se fie à son ordre, reconnaît qu’en elle s’ouvre un chemin d’harmonie et de compréhension toujours plus large. Le regard de la science tire ainsi profit de la foi</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cela invite le chercheur à rester ouvert à la réalité, dans toute sa richesse inépuisable. La foi réveille le sens critique dans la mesure où elle empêche la recherche de se complaire dans ses formules et l’aide à comprendre que la nature est toujours plus grande. En invitant à l’émerveillement devant le mystère du créé, la foi élargit les horizons de la raison pour mieux éclairer le monde qui s’ouvre à la recherche scientifique</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w:t>
      </w:r>
    </w:p>
  </w:footnote>
  <w:footnote w:id="17">
    <w:p w14:paraId="39D1D544" w14:textId="77777777" w:rsidR="00BB7338" w:rsidRPr="00465F06" w:rsidRDefault="00BB7338" w:rsidP="00BB7338">
      <w:pPr>
        <w:pStyle w:val="Notedebasdepage"/>
        <w:jc w:val="both"/>
        <w:rPr>
          <w:rFonts w:ascii="Times New Roman" w:hAnsi="Times New Roman" w:cs="Times New Roman"/>
          <w:lang w:val="en-US"/>
        </w:rPr>
      </w:pPr>
      <w:r w:rsidRPr="00A138E8">
        <w:rPr>
          <w:rStyle w:val="Appelnotedebasdep"/>
          <w:rFonts w:ascii="Times New Roman" w:hAnsi="Times New Roman" w:cs="Times New Roman"/>
        </w:rPr>
        <w:footnoteRef/>
      </w:r>
      <w:r w:rsidRPr="00465F06">
        <w:rPr>
          <w:rFonts w:ascii="Times New Roman" w:hAnsi="Times New Roman" w:cs="Times New Roman"/>
          <w:lang w:val="en-US"/>
        </w:rPr>
        <w:t xml:space="preserve"> </w:t>
      </w:r>
      <w:r w:rsidRPr="00465F06">
        <w:rPr>
          <w:rFonts w:ascii="Times New Roman" w:eastAsia="Times New Roman" w:hAnsi="Times New Roman" w:cs="Times New Roman"/>
          <w:lang w:val="en-US" w:eastAsia="fr-FR"/>
        </w:rPr>
        <w:t xml:space="preserve">Exhort. </w:t>
      </w:r>
      <w:proofErr w:type="spellStart"/>
      <w:r w:rsidRPr="00465F06">
        <w:rPr>
          <w:rFonts w:ascii="Times New Roman" w:eastAsia="Times New Roman" w:hAnsi="Times New Roman" w:cs="Times New Roman"/>
          <w:lang w:val="en-US" w:eastAsia="fr-FR"/>
        </w:rPr>
        <w:t>apost</w:t>
      </w:r>
      <w:proofErr w:type="spellEnd"/>
      <w:r>
        <w:rPr>
          <w:rFonts w:ascii="Times New Roman" w:eastAsia="Times New Roman" w:hAnsi="Times New Roman" w:cs="Times New Roman"/>
          <w:lang w:val="en-US" w:eastAsia="fr-FR"/>
        </w:rPr>
        <w:t xml:space="preserve">. </w:t>
      </w:r>
      <w:hyperlink r:id="rId9" w:anchor="Le_dialogue_social_dans_un_contexte_de_liberté_religieuse" w:history="1">
        <w:proofErr w:type="spellStart"/>
        <w:r w:rsidRPr="00465F06">
          <w:rPr>
            <w:rFonts w:ascii="Times New Roman" w:eastAsia="Times New Roman" w:hAnsi="Times New Roman" w:cs="Times New Roman"/>
            <w:i/>
            <w:iCs/>
            <w:u w:val="single"/>
            <w:lang w:val="en-US" w:eastAsia="fr-FR"/>
          </w:rPr>
          <w:t>Evangelii</w:t>
        </w:r>
        <w:proofErr w:type="spellEnd"/>
        <w:r w:rsidRPr="00465F06">
          <w:rPr>
            <w:rFonts w:ascii="Times New Roman" w:eastAsia="Times New Roman" w:hAnsi="Times New Roman" w:cs="Times New Roman"/>
            <w:i/>
            <w:iCs/>
            <w:u w:val="single"/>
            <w:lang w:val="en-US" w:eastAsia="fr-FR"/>
          </w:rPr>
          <w:t xml:space="preserve"> </w:t>
        </w:r>
        <w:proofErr w:type="spellStart"/>
        <w:r w:rsidRPr="00465F06">
          <w:rPr>
            <w:rFonts w:ascii="Times New Roman" w:eastAsia="Times New Roman" w:hAnsi="Times New Roman" w:cs="Times New Roman"/>
            <w:i/>
            <w:iCs/>
            <w:u w:val="single"/>
            <w:lang w:val="en-US" w:eastAsia="fr-FR"/>
          </w:rPr>
          <w:t>gaudium</w:t>
        </w:r>
        <w:proofErr w:type="spellEnd"/>
        <w:r w:rsidRPr="00465F06">
          <w:rPr>
            <w:rFonts w:ascii="Times New Roman" w:eastAsia="Times New Roman" w:hAnsi="Times New Roman" w:cs="Times New Roman"/>
            <w:i/>
            <w:iCs/>
            <w:u w:val="single"/>
            <w:lang w:val="en-US" w:eastAsia="fr-FR"/>
          </w:rPr>
          <w:t> </w:t>
        </w:r>
        <w:r w:rsidRPr="00465F06">
          <w:rPr>
            <w:rFonts w:ascii="Times New Roman" w:eastAsia="Times New Roman" w:hAnsi="Times New Roman" w:cs="Times New Roman"/>
            <w:u w:val="single"/>
            <w:lang w:val="en-US" w:eastAsia="fr-FR"/>
          </w:rPr>
          <w:t xml:space="preserve">(24 </w:t>
        </w:r>
        <w:proofErr w:type="spellStart"/>
        <w:r w:rsidRPr="00465F06">
          <w:rPr>
            <w:rFonts w:ascii="Times New Roman" w:eastAsia="Times New Roman" w:hAnsi="Times New Roman" w:cs="Times New Roman"/>
            <w:u w:val="single"/>
            <w:lang w:val="en-US" w:eastAsia="fr-FR"/>
          </w:rPr>
          <w:t>novembre</w:t>
        </w:r>
        <w:proofErr w:type="spellEnd"/>
        <w:r w:rsidRPr="00465F06">
          <w:rPr>
            <w:rFonts w:ascii="Times New Roman" w:eastAsia="Times New Roman" w:hAnsi="Times New Roman" w:cs="Times New Roman"/>
            <w:u w:val="single"/>
            <w:lang w:val="en-US" w:eastAsia="fr-FR"/>
          </w:rPr>
          <w:t xml:space="preserve"> 2013), </w:t>
        </w:r>
        <w:r>
          <w:rPr>
            <w:rFonts w:ascii="Times New Roman" w:eastAsia="Times New Roman" w:hAnsi="Times New Roman" w:cs="Times New Roman"/>
            <w:u w:val="single"/>
            <w:lang w:val="en-US" w:eastAsia="fr-FR"/>
          </w:rPr>
          <w:t>n° </w:t>
        </w:r>
        <w:r w:rsidRPr="00465F06">
          <w:rPr>
            <w:rFonts w:ascii="Times New Roman" w:eastAsia="Times New Roman" w:hAnsi="Times New Roman" w:cs="Times New Roman"/>
            <w:u w:val="single"/>
            <w:lang w:val="en-US" w:eastAsia="fr-FR"/>
          </w:rPr>
          <w:t>256</w:t>
        </w:r>
      </w:hyperlink>
      <w:r w:rsidRPr="00465F06">
        <w:rPr>
          <w:rFonts w:ascii="Times New Roman" w:eastAsia="Times New Roman" w:hAnsi="Times New Roman" w:cs="Times New Roman"/>
          <w:lang w:val="en-US" w:eastAsia="fr-FR"/>
        </w:rPr>
        <w:t> : </w:t>
      </w:r>
      <w:r w:rsidRPr="00465F06">
        <w:rPr>
          <w:rFonts w:ascii="Times New Roman" w:eastAsia="Times New Roman" w:hAnsi="Times New Roman" w:cs="Times New Roman"/>
          <w:i/>
          <w:iCs/>
          <w:lang w:val="en-US" w:eastAsia="fr-FR"/>
        </w:rPr>
        <w:t>AAS </w:t>
      </w:r>
      <w:r w:rsidRPr="00465F06">
        <w:rPr>
          <w:rFonts w:ascii="Times New Roman" w:eastAsia="Times New Roman" w:hAnsi="Times New Roman" w:cs="Times New Roman"/>
          <w:lang w:val="en-US" w:eastAsia="fr-FR"/>
        </w:rPr>
        <w:t>105 (2013), 1123.</w:t>
      </w:r>
    </w:p>
  </w:footnote>
  <w:footnote w:id="18">
    <w:p w14:paraId="39D1D545" w14:textId="77777777" w:rsidR="00BB7338" w:rsidRPr="00AC2D78" w:rsidRDefault="00BB7338" w:rsidP="00BB7338">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C2D78">
        <w:rPr>
          <w:rFonts w:ascii="Times New Roman" w:hAnsi="Times New Roman" w:cs="Times New Roman"/>
        </w:rPr>
        <w:t xml:space="preserve"> </w:t>
      </w:r>
      <w:hyperlink r:id="rId10" w:anchor="La_réalité_est_plus_importante_que_l’idée" w:history="1">
        <w:r w:rsidRPr="00AC2D78">
          <w:rPr>
            <w:rFonts w:ascii="Times New Roman" w:eastAsia="Times New Roman" w:hAnsi="Times New Roman" w:cs="Times New Roman"/>
            <w:i/>
            <w:iCs/>
            <w:u w:val="single"/>
            <w:lang w:eastAsia="fr-FR"/>
          </w:rPr>
          <w:t>Ibid.</w:t>
        </w:r>
        <w:r w:rsidRPr="00AC2D78">
          <w:rPr>
            <w:rFonts w:ascii="Times New Roman" w:eastAsia="Times New Roman" w:hAnsi="Times New Roman" w:cs="Times New Roman"/>
            <w:u w:val="single"/>
            <w:lang w:eastAsia="fr-FR"/>
          </w:rPr>
          <w:t>, n° 231</w:t>
        </w:r>
      </w:hyperlink>
      <w:r w:rsidRPr="00AC2D78">
        <w:rPr>
          <w:rFonts w:ascii="Times New Roman" w:eastAsia="Times New Roman" w:hAnsi="Times New Roman" w:cs="Times New Roman"/>
          <w:lang w:eastAsia="fr-FR"/>
        </w:rPr>
        <w:t>: p. 1114.</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 DUBRULLE">
    <w15:presenceInfo w15:providerId="Windows Live" w15:userId="540754b7d9bff9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38"/>
    <w:rsid w:val="001C3B11"/>
    <w:rsid w:val="002B74D5"/>
    <w:rsid w:val="0048074B"/>
    <w:rsid w:val="005D0972"/>
    <w:rsid w:val="008A40AC"/>
    <w:rsid w:val="00A445F6"/>
    <w:rsid w:val="00BB7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D503"/>
  <w15:chartTrackingRefBased/>
  <w15:docId w15:val="{5A0BDD64-49A1-4B7E-B844-EB4A5E13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B7338"/>
    <w:pPr>
      <w:spacing w:line="240" w:lineRule="auto"/>
    </w:pPr>
    <w:rPr>
      <w:sz w:val="20"/>
      <w:szCs w:val="20"/>
    </w:rPr>
  </w:style>
  <w:style w:type="character" w:customStyle="1" w:styleId="NotedebasdepageCar">
    <w:name w:val="Note de bas de page Car"/>
    <w:basedOn w:val="Policepardfaut"/>
    <w:link w:val="Notedebasdepage"/>
    <w:uiPriority w:val="99"/>
    <w:semiHidden/>
    <w:rsid w:val="00BB7338"/>
    <w:rPr>
      <w:sz w:val="20"/>
      <w:szCs w:val="20"/>
    </w:rPr>
  </w:style>
  <w:style w:type="character" w:styleId="Appelnotedebasdep">
    <w:name w:val="footnote reference"/>
    <w:basedOn w:val="Policepardfaut"/>
    <w:uiPriority w:val="99"/>
    <w:semiHidden/>
    <w:unhideWhenUsed/>
    <w:rsid w:val="00BB7338"/>
    <w:rPr>
      <w:vertAlign w:val="superscript"/>
    </w:rPr>
  </w:style>
  <w:style w:type="character" w:styleId="Marquedecommentaire">
    <w:name w:val="annotation reference"/>
    <w:basedOn w:val="Policepardfaut"/>
    <w:uiPriority w:val="99"/>
    <w:semiHidden/>
    <w:unhideWhenUsed/>
    <w:rsid w:val="002B74D5"/>
    <w:rPr>
      <w:sz w:val="16"/>
      <w:szCs w:val="16"/>
    </w:rPr>
  </w:style>
  <w:style w:type="paragraph" w:styleId="Commentaire">
    <w:name w:val="annotation text"/>
    <w:basedOn w:val="Normal"/>
    <w:link w:val="CommentaireCar"/>
    <w:uiPriority w:val="99"/>
    <w:semiHidden/>
    <w:unhideWhenUsed/>
    <w:rsid w:val="002B74D5"/>
    <w:pPr>
      <w:spacing w:line="240" w:lineRule="auto"/>
    </w:pPr>
    <w:rPr>
      <w:sz w:val="20"/>
      <w:szCs w:val="20"/>
    </w:rPr>
  </w:style>
  <w:style w:type="character" w:customStyle="1" w:styleId="CommentaireCar">
    <w:name w:val="Commentaire Car"/>
    <w:basedOn w:val="Policepardfaut"/>
    <w:link w:val="Commentaire"/>
    <w:uiPriority w:val="99"/>
    <w:semiHidden/>
    <w:rsid w:val="002B74D5"/>
    <w:rPr>
      <w:sz w:val="20"/>
      <w:szCs w:val="20"/>
    </w:rPr>
  </w:style>
  <w:style w:type="paragraph" w:styleId="Objetducommentaire">
    <w:name w:val="annotation subject"/>
    <w:basedOn w:val="Commentaire"/>
    <w:next w:val="Commentaire"/>
    <w:link w:val="ObjetducommentaireCar"/>
    <w:uiPriority w:val="99"/>
    <w:semiHidden/>
    <w:unhideWhenUsed/>
    <w:rsid w:val="002B74D5"/>
    <w:rPr>
      <w:b/>
      <w:bCs/>
    </w:rPr>
  </w:style>
  <w:style w:type="character" w:customStyle="1" w:styleId="ObjetducommentaireCar">
    <w:name w:val="Objet du commentaire Car"/>
    <w:basedOn w:val="CommentaireCar"/>
    <w:link w:val="Objetducommentaire"/>
    <w:uiPriority w:val="99"/>
    <w:semiHidden/>
    <w:rsid w:val="002B74D5"/>
    <w:rPr>
      <w:b/>
      <w:bCs/>
      <w:sz w:val="20"/>
      <w:szCs w:val="20"/>
    </w:rPr>
  </w:style>
  <w:style w:type="paragraph" w:styleId="Textedebulles">
    <w:name w:val="Balloon Text"/>
    <w:basedOn w:val="Normal"/>
    <w:link w:val="TextedebullesCar"/>
    <w:uiPriority w:val="99"/>
    <w:semiHidden/>
    <w:unhideWhenUsed/>
    <w:rsid w:val="002B74D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7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2.vatican.va/content/francesco/fr/encyclicals/documents/papa-francesco_20130629_enciclica-lumen-fidei.html" TargetMode="External"/><Relationship Id="rId3" Type="http://schemas.openxmlformats.org/officeDocument/2006/relationships/hyperlink" Target="http://www.vatican.va/roman_curia/pontifical_councils/justpeace/documents/rc_pc_justpeace_doc_20060526_compendio-dott-soc_fr.html" TargetMode="External"/><Relationship Id="rId7" Type="http://schemas.openxmlformats.org/officeDocument/2006/relationships/hyperlink" Target="http://w2.vatican.va/content/francesco/fr/apost_exhortations/documents/papa-francesco_esortazione-ap_20131124_evangelii-gaudium.html" TargetMode="External"/><Relationship Id="rId2" Type="http://schemas.openxmlformats.org/officeDocument/2006/relationships/hyperlink" Target="http://w2.vatican.va/content/francesco/fr/apost_exhortations/documents/papa-francesco_esortazione-ap_20131124_evangelii-gaudium.html" TargetMode="External"/><Relationship Id="rId1" Type="http://schemas.openxmlformats.org/officeDocument/2006/relationships/hyperlink" Target="http://w2.vatican.va/content/benedict-xvi/fr/encyclicals/documents/hf_ben-xvi_enc_20090629_caritas-in-veritate.html" TargetMode="External"/><Relationship Id="rId6" Type="http://schemas.openxmlformats.org/officeDocument/2006/relationships/hyperlink" Target="http://w2.vatican.va/content/benedict-xvi/fr/encyclicals/documents/hf_ben-xvi_enc_20090629_caritas-in-veritate.html" TargetMode="External"/><Relationship Id="rId5" Type="http://schemas.openxmlformats.org/officeDocument/2006/relationships/hyperlink" Target="http://w2.vatican.va/content/benedict-xvi/fr/messages/peace/documents/hf_ben-xvi_mes_20091208_xliii-world-day-peace.html" TargetMode="External"/><Relationship Id="rId10" Type="http://schemas.openxmlformats.org/officeDocument/2006/relationships/hyperlink" Target="http://w2.vatican.va/content/francesco/fr/apost_exhortations/documents/papa-francesco_esortazione-ap_20131124_evangelii-gaudium.html" TargetMode="External"/><Relationship Id="rId4" Type="http://schemas.openxmlformats.org/officeDocument/2006/relationships/hyperlink" Target="http://www.vatican.va/roman_curia/pontifical_councils/justpeace/documents/rc_pc_justpeace_doc_20060526_compendio-dott-soc_fr.html" TargetMode="External"/><Relationship Id="rId9" Type="http://schemas.openxmlformats.org/officeDocument/2006/relationships/hyperlink" Target="http://w2.vatican.va/content/francesco/fr/apost_exhortations/documents/papa-francesco_esortazione-ap_20131124_evangelii-gaudium.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6202</Words>
  <Characters>34114</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DUBRULLE Luc</dc:creator>
  <cp:keywords/>
  <dc:description/>
  <cp:lastModifiedBy>DUBRULLE Luc</cp:lastModifiedBy>
  <cp:revision>2</cp:revision>
  <dcterms:created xsi:type="dcterms:W3CDTF">2015-12-22T18:24:00Z</dcterms:created>
  <dcterms:modified xsi:type="dcterms:W3CDTF">2015-12-22T18:24:00Z</dcterms:modified>
</cp:coreProperties>
</file>